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广州塔广场商铺落位论证工作方案服务采购项目</w:t>
      </w:r>
    </w:p>
    <w:p>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w:t>
      </w:r>
      <w:r>
        <w:rPr>
          <w:rFonts w:hint="eastAsia" w:ascii="楷体" w:hAnsi="楷体" w:eastAsia="楷体" w:cs="宋体"/>
          <w:b/>
          <w:bCs/>
          <w:sz w:val="36"/>
          <w:szCs w:val="36"/>
          <w:lang w:val="en-US" w:eastAsia="zh-CN"/>
        </w:rPr>
        <w:t>顾问</w:t>
      </w:r>
      <w:r>
        <w:rPr>
          <w:rFonts w:hint="eastAsia" w:ascii="楷体" w:hAnsi="楷体" w:eastAsia="楷体" w:cs="宋体"/>
          <w:b/>
          <w:bCs/>
          <w:sz w:val="36"/>
          <w:szCs w:val="36"/>
        </w:rPr>
        <w:t>有限公司</w:t>
      </w:r>
    </w:p>
    <w:p>
      <w:pPr>
        <w:spacing w:line="400" w:lineRule="exact"/>
        <w:jc w:val="center"/>
        <w:rPr>
          <w:rFonts w:ascii="楷体" w:hAnsi="楷体" w:eastAsia="楷体" w:cs="宋体"/>
          <w:b/>
          <w:bCs/>
          <w:sz w:val="32"/>
          <w:szCs w:val="32"/>
        </w:rPr>
      </w:pPr>
    </w:p>
    <w:p>
      <w:pPr>
        <w:spacing w:line="400" w:lineRule="exact"/>
        <w:jc w:val="center"/>
        <w:rPr>
          <w:rFonts w:ascii="楷体" w:hAnsi="楷体" w:eastAsia="楷体" w:cs="宋体"/>
          <w:b/>
          <w:bCs/>
          <w:sz w:val="32"/>
          <w:szCs w:val="32"/>
        </w:rPr>
      </w:pPr>
      <w:r>
        <w:rPr>
          <w:rFonts w:hint="eastAsia" w:ascii="楷体" w:hAnsi="楷体" w:eastAsia="楷体" w:cs="宋体"/>
          <w:b/>
          <w:bCs/>
          <w:sz w:val="32"/>
          <w:szCs w:val="32"/>
        </w:rPr>
        <w:t>202</w:t>
      </w:r>
      <w:r>
        <w:rPr>
          <w:rFonts w:hint="eastAsia" w:ascii="楷体" w:hAnsi="楷体" w:eastAsia="楷体" w:cs="宋体"/>
          <w:b/>
          <w:bCs/>
          <w:sz w:val="32"/>
          <w:szCs w:val="32"/>
          <w:lang w:val="en-US" w:eastAsia="zh-CN"/>
        </w:rPr>
        <w:t>2</w:t>
      </w:r>
      <w:r>
        <w:rPr>
          <w:rFonts w:hint="eastAsia" w:ascii="楷体" w:hAnsi="楷体" w:eastAsia="楷体" w:cs="宋体"/>
          <w:b/>
          <w:bCs/>
          <w:sz w:val="32"/>
          <w:szCs w:val="32"/>
        </w:rPr>
        <w:t>年</w:t>
      </w:r>
      <w:r>
        <w:rPr>
          <w:rFonts w:hint="eastAsia" w:ascii="楷体" w:hAnsi="楷体" w:eastAsia="楷体" w:cs="宋体"/>
          <w:b/>
          <w:bCs/>
          <w:sz w:val="32"/>
          <w:szCs w:val="32"/>
          <w:u w:val="single"/>
          <w:lang w:val="en-US" w:eastAsia="zh-CN"/>
        </w:rPr>
        <w:t>9</w:t>
      </w:r>
      <w:r>
        <w:rPr>
          <w:rFonts w:hint="eastAsia" w:ascii="楷体" w:hAnsi="楷体" w:eastAsia="楷体" w:cs="宋体"/>
          <w:b/>
          <w:bCs/>
          <w:sz w:val="32"/>
          <w:szCs w:val="32"/>
        </w:rPr>
        <w:t>月</w:t>
      </w:r>
      <w:r>
        <w:rPr>
          <w:rFonts w:hint="eastAsia" w:ascii="楷体" w:hAnsi="楷体" w:eastAsia="楷体" w:cs="宋体"/>
          <w:b/>
          <w:bCs/>
          <w:sz w:val="32"/>
          <w:szCs w:val="32"/>
          <w:u w:val="single"/>
          <w:lang w:val="en-US" w:eastAsia="zh-CN"/>
        </w:rPr>
        <w:t>5</w:t>
      </w:r>
      <w:r>
        <w:rPr>
          <w:rFonts w:hint="eastAsia" w:ascii="楷体" w:hAnsi="楷体" w:eastAsia="楷体" w:cs="宋体"/>
          <w:b/>
          <w:bCs/>
          <w:sz w:val="32"/>
          <w:szCs w:val="32"/>
        </w:rPr>
        <w:t>日</w:t>
      </w:r>
    </w:p>
    <w:p>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pPr>
        <w:spacing w:line="400" w:lineRule="exact"/>
        <w:rPr>
          <w:rFonts w:ascii="Calibri" w:hAnsi="Calibri" w:eastAsia="宋体" w:cs="Times New Roman"/>
          <w:szCs w:val="24"/>
        </w:rPr>
      </w:pPr>
    </w:p>
    <w:p>
      <w:pPr>
        <w:widowControl/>
        <w:spacing w:line="400" w:lineRule="exact"/>
        <w:jc w:val="center"/>
        <w:rPr>
          <w:rFonts w:hint="eastAsia"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广州塔广场商铺落位论证工作方案服务采购项目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400" w:lineRule="exact"/>
        <w:jc w:val="center"/>
        <w:rPr>
          <w:rFonts w:ascii="仿宋_GB2312" w:hAnsi="宋体" w:eastAsia="仿宋_GB2312" w:cs="宋体"/>
          <w:b/>
          <w:bCs/>
          <w:spacing w:val="20"/>
          <w:kern w:val="44"/>
          <w:sz w:val="32"/>
          <w:szCs w:val="32"/>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有关法律法规及相关采购管理规定，本着公平、公正、公开原则，拟对广州塔广场商铺落位论证工作方案服务采购项目进行公开竞选采购，按竞选采购程序选定相应服务单位，现将该竞选采购项目相关信息对外公开发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一、竞选项目内容说明</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（一）项目名称：广州塔广场商铺落位论证工作方案服务采购项目</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（二）项目内容：</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对广州塔广场的商业定位、业态布局、品牌商户落位等方面进行深入研究和调研，在招商、运营、推广等不同阶段制定中长期目标</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进行商家访谈，对物业的设计及租金定价提出可行性建议。对主力店商铺、其他品牌业态进行具体落位，并根据市场谈判情况和招商进度进行布局调整</w:t>
      </w:r>
    </w:p>
    <w:p>
      <w:pPr>
        <w:spacing w:line="400" w:lineRule="exact"/>
        <w:ind w:firstLine="420" w:firstLineChars="0"/>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具体服务内容后附</w:t>
      </w:r>
    </w:p>
    <w:p>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（三）项目地点：</w:t>
      </w:r>
      <w:r>
        <w:rPr>
          <w:rFonts w:hint="eastAsia" w:ascii="仿宋_GB2312" w:hAnsi="仿宋_GB2312" w:eastAsia="仿宋_GB2312" w:cs="仿宋_GB2312"/>
          <w:sz w:val="24"/>
          <w:szCs w:val="24"/>
          <w:highlight w:val="none"/>
          <w:lang w:val="en-US" w:eastAsia="zh-CN"/>
        </w:rPr>
        <w:t>广东省广州市海珠区阅江西路222号</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（四）项目限价：</w:t>
      </w:r>
      <w:r>
        <w:rPr>
          <w:rFonts w:hint="eastAsia" w:ascii="仿宋_GB2312" w:hAnsi="仿宋_GB2312" w:eastAsia="仿宋_GB2312" w:cs="仿宋_GB2312"/>
          <w:sz w:val="24"/>
          <w:szCs w:val="24"/>
          <w:highlight w:val="none"/>
          <w:lang w:val="en-US" w:eastAsia="zh-CN"/>
        </w:rPr>
        <w:t>27.5</w:t>
      </w:r>
      <w:r>
        <w:rPr>
          <w:rFonts w:hint="eastAsia" w:ascii="仿宋_GB2312" w:hAnsi="仿宋_GB2312" w:eastAsia="仿宋_GB2312" w:cs="仿宋_GB2312"/>
          <w:sz w:val="24"/>
          <w:szCs w:val="24"/>
          <w:highlight w:val="none"/>
        </w:rPr>
        <w:t>万</w:t>
      </w:r>
      <w:r>
        <w:rPr>
          <w:rFonts w:hint="eastAsia" w:ascii="仿宋_GB2312" w:hAnsi="仿宋_GB2312" w:eastAsia="仿宋_GB2312" w:cs="仿宋_GB2312"/>
          <w:sz w:val="24"/>
          <w:szCs w:val="24"/>
        </w:rPr>
        <w:t>元人民币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含税</w:t>
      </w:r>
      <w:r>
        <w:rPr>
          <w:rFonts w:hint="eastAsia" w:ascii="仿宋_GB2312" w:hAnsi="仿宋_GB2312" w:eastAsia="仿宋_GB2312" w:cs="仿宋_GB2312"/>
          <w:sz w:val="24"/>
          <w:szCs w:val="24"/>
          <w:lang w:eastAsia="zh-CN"/>
        </w:rPr>
        <w:t>）</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w:t>
      </w:r>
      <w:r>
        <w:rPr>
          <w:rFonts w:hint="eastAsia" w:ascii="仿宋_GB2312" w:hAnsi="仿宋_GB2312" w:eastAsia="仿宋_GB2312" w:cs="仿宋_GB2312"/>
          <w:sz w:val="24"/>
          <w:szCs w:val="24"/>
          <w:lang w:val="en-US" w:eastAsia="zh-CN"/>
        </w:rPr>
        <w:t>合理</w:t>
      </w:r>
      <w:r>
        <w:rPr>
          <w:rFonts w:hint="eastAsia" w:ascii="仿宋_GB2312" w:hAnsi="仿宋_GB2312" w:eastAsia="仿宋_GB2312" w:cs="仿宋_GB2312"/>
          <w:sz w:val="24"/>
          <w:szCs w:val="24"/>
        </w:rPr>
        <w:t>报价区间为[项目限价*80%，项目限价]</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（三）竞投人营业范围须符合本项目需求。</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（一）公司资质的相关文件：公司营业执照、税务登记证复印件（加盖公章）及公司基本情况介绍等资料。</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（二）广州塔广场商铺落位论证工作方案服务采购项目</w:t>
      </w:r>
      <w:r>
        <w:rPr>
          <w:rFonts w:hint="eastAsia" w:ascii="仿宋_GB2312" w:hAnsi="仿宋_GB2312" w:eastAsia="仿宋_GB2312" w:cs="仿宋_GB2312"/>
          <w:sz w:val="24"/>
          <w:szCs w:val="24"/>
          <w:lang w:val="en-US" w:eastAsia="zh-CN"/>
        </w:rPr>
        <w:t>服务建议书（方案思路）</w:t>
      </w:r>
      <w:r>
        <w:rPr>
          <w:rFonts w:hint="eastAsia" w:ascii="仿宋_GB2312" w:hAnsi="仿宋_GB2312" w:eastAsia="仿宋_GB2312" w:cs="仿宋_GB2312"/>
          <w:sz w:val="24"/>
          <w:szCs w:val="24"/>
        </w:rPr>
        <w:t>。</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（四）竞投文件提交截止时间：202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8</w:t>
      </w:r>
      <w:r>
        <w:rPr>
          <w:rFonts w:hint="eastAsia" w:ascii="仿宋_GB2312" w:hAnsi="仿宋_GB2312" w:eastAsia="仿宋_GB2312" w:cs="仿宋_GB2312"/>
          <w:sz w:val="24"/>
          <w:szCs w:val="24"/>
        </w:rPr>
        <w:t>日上午10:00</w:t>
      </w:r>
    </w:p>
    <w:p>
      <w:pPr>
        <w:spacing w:line="40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开评标</w:t>
      </w:r>
      <w:r>
        <w:rPr>
          <w:rFonts w:hint="eastAsia" w:ascii="仿宋_GB2312" w:hAnsi="仿宋_GB2312" w:eastAsia="仿宋_GB2312" w:cs="仿宋_GB2312"/>
          <w:sz w:val="24"/>
          <w:szCs w:val="24"/>
        </w:rPr>
        <w:t>时间：202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8</w:t>
      </w:r>
      <w:r>
        <w:rPr>
          <w:rFonts w:hint="eastAsia" w:ascii="仿宋_GB2312" w:hAnsi="仿宋_GB2312" w:eastAsia="仿宋_GB2312" w:cs="仿宋_GB2312"/>
          <w:sz w:val="24"/>
          <w:szCs w:val="24"/>
        </w:rPr>
        <w:t>日</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（五）递交地址：广州市越秀区流花路117号16号馆2楼。</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（一）本采购项目信息同步在采购人的官方网站</w:t>
      </w:r>
      <w:r>
        <w:rPr>
          <w:rFonts w:hint="eastAsia" w:ascii="仿宋_GB2312" w:hAnsi="仿宋_GB2312" w:eastAsia="仿宋_GB2312" w:cs="仿宋_GB2312"/>
          <w:sz w:val="24"/>
          <w:szCs w:val="24"/>
          <w:highlight w:val="none"/>
          <w:lang w:eastAsia="zh-CN"/>
        </w:rPr>
        <w:t>（http://www.gzcityone.com/）</w:t>
      </w:r>
      <w:r>
        <w:rPr>
          <w:rFonts w:hint="eastAsia" w:ascii="仿宋_GB2312" w:hAnsi="仿宋_GB2312" w:eastAsia="仿宋_GB2312" w:cs="仿宋_GB2312"/>
          <w:sz w:val="24"/>
          <w:szCs w:val="24"/>
          <w:highlight w:val="none"/>
        </w:rPr>
        <w:t>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（三）竞投文件的截止递交时间前，如递交的有效竞投文件少于三家，则采购招选工作失败。广州市城壹房地产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有限公司将按有关规定另行组织采购竞选工作。</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（二）采购人地址：广州市越秀区流花路流花展贸中心16号馆2楼</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（三）采购联系人：</w:t>
      </w:r>
      <w:r>
        <w:rPr>
          <w:rFonts w:hint="eastAsia" w:ascii="仿宋_GB2312" w:hAnsi="仿宋_GB2312" w:eastAsia="仿宋_GB2312" w:cs="仿宋_GB2312"/>
          <w:sz w:val="24"/>
          <w:szCs w:val="24"/>
          <w:lang w:val="en-US" w:eastAsia="zh-CN"/>
        </w:rPr>
        <w:t>陈先生</w:t>
      </w:r>
    </w:p>
    <w:p>
      <w:pPr>
        <w:snapToGrid w:val="0"/>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020—</w:t>
      </w:r>
      <w:r>
        <w:rPr>
          <w:rFonts w:hint="eastAsia" w:ascii="仿宋_GB2312" w:hAnsi="仿宋_GB2312" w:eastAsia="仿宋_GB2312" w:cs="仿宋_GB2312"/>
          <w:sz w:val="24"/>
          <w:szCs w:val="24"/>
        </w:rPr>
        <w:t>83707976</w:t>
      </w:r>
    </w:p>
    <w:p>
      <w:pPr>
        <w:widowControl/>
        <w:spacing w:line="400" w:lineRule="exact"/>
        <w:ind w:right="480"/>
        <w:jc w:val="righ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sz w:val="24"/>
          <w:szCs w:val="24"/>
        </w:rPr>
        <w:t>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w:t>
      </w:r>
    </w:p>
    <w:p>
      <w:pPr>
        <w:widowControl/>
        <w:wordWrap w:val="0"/>
        <w:spacing w:line="400" w:lineRule="exact"/>
        <w:ind w:right="1200"/>
        <w:jc w:val="righ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202</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w:t>
      </w:r>
      <w:r>
        <w:rPr>
          <w:rFonts w:hint="eastAsia" w:ascii="仿宋_GB2312" w:hAnsi="仿宋_GB2312" w:eastAsia="仿宋_GB2312" w:cs="仿宋_GB2312"/>
          <w:sz w:val="24"/>
          <w:szCs w:val="24"/>
          <w:u w:val="single"/>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5</w:t>
      </w:r>
      <w:r>
        <w:rPr>
          <w:rFonts w:hint="eastAsia" w:ascii="仿宋_GB2312" w:hAnsi="仿宋_GB2312" w:eastAsia="仿宋_GB2312" w:cs="仿宋_GB2312"/>
          <w:sz w:val="24"/>
          <w:szCs w:val="24"/>
        </w:rPr>
        <w:t>日</w:t>
      </w:r>
    </w:p>
    <w:p>
      <w:pPr>
        <w:widowControl/>
        <w:wordWrap/>
        <w:spacing w:line="400" w:lineRule="exact"/>
        <w:ind w:right="1200"/>
        <w:jc w:val="both"/>
        <w:rPr>
          <w:rFonts w:hint="eastAsia" w:ascii="仿宋_GB2312" w:hAnsi="仿宋_GB2312" w:eastAsia="仿宋_GB2312" w:cs="仿宋_GB2312"/>
          <w:sz w:val="24"/>
          <w:szCs w:val="24"/>
          <w:lang w:val="en-US" w:eastAsia="zh-CN"/>
        </w:rPr>
      </w:pPr>
    </w:p>
    <w:p>
      <w:pPr>
        <w:widowControl/>
        <w:wordWrap/>
        <w:spacing w:line="400" w:lineRule="exact"/>
        <w:ind w:right="1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w:t>
      </w:r>
    </w:p>
    <w:tbl>
      <w:tblPr>
        <w:tblStyle w:val="6"/>
        <w:tblW w:w="7812" w:type="dxa"/>
        <w:tblInd w:w="0" w:type="dxa"/>
        <w:tblLayout w:type="autofit"/>
        <w:tblCellMar>
          <w:top w:w="15" w:type="dxa"/>
          <w:left w:w="15" w:type="dxa"/>
          <w:bottom w:w="15" w:type="dxa"/>
          <w:right w:w="15" w:type="dxa"/>
        </w:tblCellMar>
      </w:tblPr>
      <w:tblGrid>
        <w:gridCol w:w="601"/>
        <w:gridCol w:w="1013"/>
        <w:gridCol w:w="4355"/>
        <w:gridCol w:w="850"/>
        <w:gridCol w:w="419"/>
        <w:gridCol w:w="574"/>
      </w:tblGrid>
      <w:tr>
        <w:tblPrEx>
          <w:tblCellMar>
            <w:top w:w="15" w:type="dxa"/>
            <w:left w:w="15" w:type="dxa"/>
            <w:bottom w:w="15" w:type="dxa"/>
            <w:right w:w="15" w:type="dxa"/>
          </w:tblCellMar>
        </w:tblPrEx>
        <w:trPr>
          <w:trHeight w:val="565" w:hRule="atLeast"/>
        </w:trPr>
        <w:tc>
          <w:tcPr>
            <w:tcW w:w="601" w:type="dxa"/>
            <w:tcBorders>
              <w:left w:val="single" w:color="808080" w:sz="12" w:space="0"/>
              <w:bottom w:val="single" w:color="FFFFFF" w:sz="12" w:space="0"/>
              <w:right w:val="single" w:color="F2F2F2" w:sz="4" w:space="0"/>
            </w:tcBorders>
            <w:shd w:val="clear" w:color="auto" w:fill="A6A6A6"/>
            <w:noWrap w:val="0"/>
            <w:vAlign w:val="center"/>
          </w:tcPr>
          <w:p>
            <w:pPr>
              <w:widowControl/>
              <w:jc w:val="center"/>
              <w:textAlignment w:val="center"/>
              <w:rPr>
                <w:rFonts w:ascii="微软雅黑" w:hAnsi="微软雅黑" w:eastAsia="微软雅黑" w:cs="微软雅黑"/>
                <w:b w:val="0"/>
                <w:bCs/>
                <w:color w:val="000000"/>
                <w:sz w:val="18"/>
                <w:szCs w:val="18"/>
              </w:rPr>
            </w:pPr>
            <w:bookmarkStart w:id="1" w:name="_Toc334797738"/>
            <w:bookmarkStart w:id="2" w:name="_Toc130180842"/>
            <w:bookmarkStart w:id="3" w:name="_Toc130180737"/>
            <w:bookmarkStart w:id="4" w:name="_Toc238282338"/>
            <w:bookmarkStart w:id="5" w:name="_Toc130180923"/>
            <w:r>
              <w:rPr>
                <w:rFonts w:hint="eastAsia" w:ascii="微软雅黑" w:hAnsi="微软雅黑" w:eastAsia="微软雅黑" w:cs="微软雅黑"/>
                <w:b w:val="0"/>
                <w:bCs/>
                <w:color w:val="000000"/>
                <w:kern w:val="0"/>
                <w:sz w:val="18"/>
                <w:szCs w:val="18"/>
                <w:lang w:val="en-US" w:bidi="ar"/>
              </w:rPr>
              <w:t>序号</w:t>
            </w:r>
          </w:p>
        </w:tc>
        <w:tc>
          <w:tcPr>
            <w:tcW w:w="5368" w:type="dxa"/>
            <w:gridSpan w:val="2"/>
            <w:tcBorders>
              <w:left w:val="single" w:color="F2F2F2" w:sz="4" w:space="0"/>
              <w:bottom w:val="single" w:color="FFFFFF" w:sz="12" w:space="0"/>
              <w:right w:val="single" w:color="F2F2F2" w:sz="4" w:space="0"/>
            </w:tcBorders>
            <w:shd w:val="clear" w:color="auto" w:fill="A6A6A6"/>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项目商铺落位论证服务内容</w:t>
            </w:r>
          </w:p>
        </w:tc>
        <w:tc>
          <w:tcPr>
            <w:tcW w:w="850" w:type="dxa"/>
            <w:tcBorders>
              <w:bottom w:val="single" w:color="FFFFFF" w:sz="12" w:space="0"/>
              <w:right w:val="single" w:color="F2F2F2" w:sz="4" w:space="0"/>
            </w:tcBorders>
            <w:shd w:val="clear" w:color="auto" w:fill="A6A6A6"/>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交付内容</w:t>
            </w:r>
          </w:p>
        </w:tc>
        <w:tc>
          <w:tcPr>
            <w:tcW w:w="419" w:type="dxa"/>
            <w:tcBorders>
              <w:left w:val="single" w:color="F2F2F2" w:sz="4" w:space="0"/>
              <w:bottom w:val="single" w:color="FFFFFF" w:sz="12" w:space="0"/>
              <w:right w:val="single" w:color="F2F2F2" w:sz="4" w:space="0"/>
            </w:tcBorders>
            <w:shd w:val="clear" w:color="auto" w:fill="A6A6A6"/>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数量</w:t>
            </w:r>
          </w:p>
        </w:tc>
        <w:tc>
          <w:tcPr>
            <w:tcW w:w="574" w:type="dxa"/>
            <w:tcBorders>
              <w:left w:val="single" w:color="F2F2F2" w:sz="4" w:space="0"/>
              <w:bottom w:val="single" w:color="FFFFFF" w:sz="12" w:space="0"/>
              <w:right w:val="single" w:color="F2F2F2" w:sz="4" w:space="0"/>
            </w:tcBorders>
            <w:shd w:val="clear" w:color="auto" w:fill="A6A6A6"/>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时长/工日</w:t>
            </w:r>
          </w:p>
        </w:tc>
      </w:tr>
      <w:tr>
        <w:tblPrEx>
          <w:tblCellMar>
            <w:top w:w="15" w:type="dxa"/>
            <w:left w:w="15" w:type="dxa"/>
            <w:bottom w:w="15" w:type="dxa"/>
            <w:right w:w="15" w:type="dxa"/>
          </w:tblCellMar>
        </w:tblPrEx>
        <w:trPr>
          <w:trHeight w:val="321" w:hRule="atLeast"/>
        </w:trPr>
        <w:tc>
          <w:tcPr>
            <w:tcW w:w="7812" w:type="dxa"/>
            <w:gridSpan w:val="6"/>
            <w:tcBorders>
              <w:left w:val="single" w:color="808080" w:sz="12" w:space="0"/>
              <w:bottom w:val="single" w:color="808080" w:sz="4" w:space="0"/>
              <w:right w:val="single" w:color="808080" w:sz="4" w:space="0"/>
            </w:tcBorders>
            <w:shd w:val="clear" w:color="auto" w:fill="F8CBAD"/>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项目前期预测分析</w:t>
            </w:r>
          </w:p>
        </w:tc>
      </w:tr>
      <w:tr>
        <w:tblPrEx>
          <w:tblCellMar>
            <w:top w:w="15" w:type="dxa"/>
            <w:left w:w="15" w:type="dxa"/>
            <w:bottom w:w="15" w:type="dxa"/>
            <w:right w:w="15" w:type="dxa"/>
          </w:tblCellMar>
        </w:tblPrEx>
        <w:trPr>
          <w:trHeight w:val="2004" w:hRule="atLeast"/>
        </w:trPr>
        <w:tc>
          <w:tcPr>
            <w:tcW w:w="601" w:type="dxa"/>
            <w:tcBorders>
              <w:top w:val="single" w:color="808080" w:sz="4" w:space="0"/>
              <w:left w:val="single" w:color="808080" w:sz="12"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1013" w:type="dxa"/>
            <w:vMerge w:val="restart"/>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项目周边调研报告及分析建议</w:t>
            </w:r>
          </w:p>
        </w:tc>
        <w:tc>
          <w:tcPr>
            <w:tcW w:w="4355" w:type="dxa"/>
            <w:tcBorders>
              <w:top w:val="single" w:color="808080" w:sz="4" w:space="0"/>
              <w:left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b w:val="0"/>
                <w:bCs/>
                <w:color w:val="000000"/>
                <w:sz w:val="18"/>
                <w:szCs w:val="18"/>
              </w:rPr>
            </w:pPr>
            <w:r>
              <w:rPr>
                <w:rStyle w:val="17"/>
                <w:rFonts w:hint="default"/>
                <w:b/>
                <w:bCs w:val="0"/>
                <w:sz w:val="18"/>
                <w:szCs w:val="18"/>
                <w:lang w:val="en-US" w:bidi="ar"/>
              </w:rPr>
              <w:t>项目所在地市场调研</w:t>
            </w:r>
            <w:r>
              <w:rPr>
                <w:rStyle w:val="13"/>
                <w:rFonts w:hint="default"/>
                <w:b w:val="0"/>
                <w:bCs/>
                <w:sz w:val="18"/>
                <w:szCs w:val="18"/>
                <w:lang w:val="en-US" w:bidi="ar"/>
              </w:rPr>
              <w:br w:type="textWrapping"/>
            </w:r>
            <w:r>
              <w:rPr>
                <w:rStyle w:val="13"/>
                <w:rFonts w:hint="default"/>
                <w:b w:val="0"/>
                <w:bCs/>
                <w:sz w:val="18"/>
                <w:szCs w:val="18"/>
                <w:lang w:val="en-US" w:bidi="ar"/>
              </w:rPr>
              <w:t>1、分析甲方区位定位，对项目设计提出建议；</w:t>
            </w:r>
            <w:r>
              <w:rPr>
                <w:rStyle w:val="13"/>
                <w:rFonts w:hint="default"/>
                <w:b w:val="0"/>
                <w:bCs/>
                <w:sz w:val="18"/>
                <w:szCs w:val="18"/>
                <w:lang w:val="en-US" w:bidi="ar"/>
              </w:rPr>
              <w:br w:type="textWrapping"/>
            </w:r>
            <w:r>
              <w:rPr>
                <w:rStyle w:val="13"/>
                <w:rFonts w:hint="default"/>
                <w:b w:val="0"/>
                <w:bCs/>
                <w:sz w:val="18"/>
                <w:szCs w:val="18"/>
                <w:lang w:val="en-US" w:bidi="ar"/>
              </w:rPr>
              <w:t>2、对项目所在地周边情况，如：人群画像、区位优势、政策、项目与周边区域关系等现况进行走访调研；</w:t>
            </w:r>
            <w:r>
              <w:rPr>
                <w:rStyle w:val="13"/>
                <w:rFonts w:hint="default"/>
                <w:b w:val="0"/>
                <w:bCs/>
                <w:sz w:val="18"/>
                <w:szCs w:val="18"/>
                <w:lang w:val="en-US" w:bidi="ar"/>
              </w:rPr>
              <w:br w:type="textWrapping"/>
            </w:r>
            <w:r>
              <w:rPr>
                <w:rStyle w:val="13"/>
                <w:rFonts w:hint="default"/>
                <w:b w:val="0"/>
                <w:bCs/>
                <w:sz w:val="18"/>
                <w:szCs w:val="18"/>
                <w:lang w:val="en-US" w:bidi="ar"/>
              </w:rPr>
              <w:t>3、对调研结果进行归纳整理，核心优势提炼</w:t>
            </w:r>
          </w:p>
        </w:tc>
        <w:tc>
          <w:tcPr>
            <w:tcW w:w="850" w:type="dxa"/>
            <w:vMerge w:val="restart"/>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前期策划报告</w:t>
            </w:r>
            <w:r>
              <w:rPr>
                <w:rFonts w:hint="eastAsia" w:ascii="微软雅黑" w:hAnsi="微软雅黑" w:eastAsia="微软雅黑" w:cs="微软雅黑"/>
                <w:b w:val="0"/>
                <w:bCs/>
                <w:color w:val="000000"/>
                <w:kern w:val="0"/>
                <w:sz w:val="18"/>
                <w:szCs w:val="18"/>
                <w:lang w:val="en-US" w:eastAsia="zh-Hans" w:bidi="ar"/>
              </w:rPr>
              <w:t>PPT</w:t>
            </w:r>
            <w:r>
              <w:rPr>
                <w:rFonts w:hint="eastAsia" w:ascii="微软雅黑" w:hAnsi="微软雅黑" w:eastAsia="微软雅黑" w:cs="微软雅黑"/>
                <w:b w:val="0"/>
                <w:bCs/>
                <w:color w:val="000000"/>
                <w:kern w:val="0"/>
                <w:sz w:val="18"/>
                <w:szCs w:val="18"/>
                <w:lang w:val="en-US" w:bidi="ar"/>
              </w:rPr>
              <w:br w:type="textWrapping"/>
            </w:r>
            <w:r>
              <w:rPr>
                <w:rFonts w:hint="eastAsia" w:ascii="微软雅黑" w:hAnsi="微软雅黑" w:eastAsia="微软雅黑" w:cs="微软雅黑"/>
                <w:b w:val="0"/>
                <w:bCs/>
                <w:color w:val="000000"/>
                <w:kern w:val="0"/>
                <w:sz w:val="18"/>
                <w:szCs w:val="18"/>
                <w:lang w:val="en-US" w:bidi="ar"/>
              </w:rPr>
              <w:t>（初稿）</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10</w:t>
            </w:r>
          </w:p>
        </w:tc>
      </w:tr>
      <w:tr>
        <w:tblPrEx>
          <w:tblCellMar>
            <w:top w:w="15" w:type="dxa"/>
            <w:left w:w="15" w:type="dxa"/>
            <w:bottom w:w="15" w:type="dxa"/>
            <w:right w:w="15" w:type="dxa"/>
          </w:tblCellMar>
        </w:tblPrEx>
        <w:trPr>
          <w:trHeight w:val="864" w:hRule="atLeast"/>
        </w:trPr>
        <w:tc>
          <w:tcPr>
            <w:tcW w:w="601" w:type="dxa"/>
            <w:tcBorders>
              <w:top w:val="single" w:color="808080" w:sz="4" w:space="0"/>
              <w:left w:val="single" w:color="808080" w:sz="12"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2</w:t>
            </w:r>
          </w:p>
        </w:tc>
        <w:tc>
          <w:tcPr>
            <w:tcW w:w="1013"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b w:val="0"/>
                <w:bCs/>
                <w:color w:val="000000"/>
                <w:sz w:val="18"/>
                <w:szCs w:val="18"/>
              </w:rPr>
            </w:pP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b w:val="0"/>
                <w:bCs/>
                <w:color w:val="000000"/>
                <w:sz w:val="18"/>
                <w:szCs w:val="18"/>
              </w:rPr>
            </w:pPr>
            <w:r>
              <w:rPr>
                <w:rStyle w:val="17"/>
                <w:rFonts w:hint="default"/>
                <w:b/>
                <w:bCs w:val="0"/>
                <w:sz w:val="18"/>
                <w:szCs w:val="18"/>
                <w:lang w:val="en-US" w:bidi="ar"/>
              </w:rPr>
              <w:t>项目商业定位报告</w:t>
            </w:r>
            <w:r>
              <w:rPr>
                <w:rStyle w:val="13"/>
                <w:rFonts w:hint="default"/>
                <w:b w:val="0"/>
                <w:bCs/>
                <w:sz w:val="18"/>
                <w:szCs w:val="18"/>
                <w:lang w:val="en-US" w:bidi="ar"/>
              </w:rPr>
              <w:br w:type="textWrapping"/>
            </w:r>
            <w:r>
              <w:rPr>
                <w:rStyle w:val="13"/>
                <w:rFonts w:hint="default"/>
                <w:b w:val="0"/>
                <w:bCs/>
                <w:sz w:val="18"/>
                <w:szCs w:val="18"/>
                <w:lang w:val="en-US" w:bidi="ar"/>
              </w:rPr>
              <w:t>1、根据调研报告分析，拟定项目商业定位报告，包括：、商铺品牌定位、业态布局规划、租金价格定位、形象定位等；</w:t>
            </w:r>
            <w:r>
              <w:rPr>
                <w:rStyle w:val="13"/>
                <w:rFonts w:hint="default"/>
                <w:b w:val="0"/>
                <w:bCs/>
                <w:sz w:val="18"/>
                <w:szCs w:val="18"/>
                <w:lang w:val="en-US" w:bidi="ar"/>
              </w:rPr>
              <w:br w:type="textWrapping"/>
            </w:r>
            <w:r>
              <w:rPr>
                <w:rStyle w:val="13"/>
                <w:rFonts w:hint="default"/>
                <w:b w:val="0"/>
                <w:bCs/>
                <w:sz w:val="18"/>
                <w:szCs w:val="18"/>
                <w:lang w:val="en-US" w:bidi="ar"/>
              </w:rPr>
              <w:t>2、针对定位报告及市场环境分析，拟定项目运营宣传策略。</w:t>
            </w:r>
          </w:p>
        </w:tc>
        <w:tc>
          <w:tcPr>
            <w:tcW w:w="850"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b w:val="0"/>
                <w:bCs/>
                <w:color w:val="000000"/>
                <w:sz w:val="18"/>
                <w:szCs w:val="18"/>
              </w:rPr>
            </w:pP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2</w:t>
            </w:r>
          </w:p>
        </w:tc>
      </w:tr>
      <w:tr>
        <w:tblPrEx>
          <w:tblCellMar>
            <w:top w:w="15" w:type="dxa"/>
            <w:left w:w="15" w:type="dxa"/>
            <w:bottom w:w="15" w:type="dxa"/>
            <w:right w:w="15" w:type="dxa"/>
          </w:tblCellMar>
        </w:tblPrEx>
        <w:trPr>
          <w:trHeight w:val="1225" w:hRule="atLeast"/>
        </w:trPr>
        <w:tc>
          <w:tcPr>
            <w:tcW w:w="601" w:type="dxa"/>
            <w:tcBorders>
              <w:top w:val="single" w:color="808080" w:sz="4" w:space="0"/>
              <w:left w:val="single" w:color="808080" w:sz="12"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3</w:t>
            </w:r>
          </w:p>
        </w:tc>
        <w:tc>
          <w:tcPr>
            <w:tcW w:w="1013"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项目招商分析及建议</w:t>
            </w:r>
          </w:p>
        </w:tc>
        <w:tc>
          <w:tcPr>
            <w:tcW w:w="4355" w:type="dxa"/>
            <w:tcBorders>
              <w:top w:val="single" w:color="808080" w:sz="4" w:space="0"/>
              <w:left w:val="single" w:color="808080" w:sz="4" w:space="0"/>
              <w:right w:val="single" w:color="808080" w:sz="4" w:space="0"/>
            </w:tcBorders>
            <w:noWrap w:val="0"/>
            <w:vAlign w:val="center"/>
          </w:tcPr>
          <w:p>
            <w:pPr>
              <w:widowControl/>
              <w:jc w:val="left"/>
              <w:textAlignment w:val="center"/>
              <w:rPr>
                <w:rStyle w:val="13"/>
                <w:rFonts w:hint="default"/>
                <w:b w:val="0"/>
                <w:bCs/>
                <w:sz w:val="18"/>
                <w:szCs w:val="18"/>
                <w:lang w:val="en-US" w:bidi="ar"/>
              </w:rPr>
            </w:pPr>
            <w:r>
              <w:rPr>
                <w:rStyle w:val="17"/>
                <w:rFonts w:hint="default"/>
                <w:b/>
                <w:bCs w:val="0"/>
                <w:sz w:val="18"/>
                <w:szCs w:val="18"/>
                <w:lang w:val="en-US" w:bidi="ar"/>
              </w:rPr>
              <w:t>招商策略</w:t>
            </w:r>
            <w:r>
              <w:rPr>
                <w:rStyle w:val="13"/>
                <w:rFonts w:hint="default"/>
                <w:b w:val="0"/>
                <w:bCs/>
                <w:sz w:val="18"/>
                <w:szCs w:val="18"/>
                <w:lang w:val="en-US" w:bidi="ar"/>
              </w:rPr>
              <w:br w:type="textWrapping"/>
            </w:r>
            <w:r>
              <w:rPr>
                <w:rStyle w:val="13"/>
                <w:rFonts w:hint="default"/>
                <w:b w:val="0"/>
                <w:bCs/>
                <w:sz w:val="18"/>
                <w:szCs w:val="18"/>
                <w:lang w:val="en-US" w:bidi="ar"/>
              </w:rPr>
              <w:t>1、根据周边调研报告，拟定项目的品类业态规划及业态比例；</w:t>
            </w:r>
          </w:p>
          <w:p>
            <w:pPr>
              <w:widowControl/>
              <w:jc w:val="left"/>
              <w:textAlignment w:val="center"/>
              <w:rPr>
                <w:rFonts w:hint="eastAsia" w:ascii="微软雅黑" w:hAnsi="微软雅黑" w:eastAsia="微软雅黑" w:cs="微软雅黑"/>
                <w:b w:val="0"/>
                <w:bCs/>
                <w:color w:val="000000"/>
                <w:sz w:val="18"/>
                <w:szCs w:val="18"/>
              </w:rPr>
            </w:pPr>
            <w:r>
              <w:rPr>
                <w:rStyle w:val="13"/>
                <w:rFonts w:hint="default"/>
                <w:b w:val="0"/>
                <w:bCs/>
                <w:sz w:val="18"/>
                <w:szCs w:val="18"/>
                <w:lang w:val="en-US" w:bidi="ar"/>
              </w:rPr>
              <w:t>2、深度走访各业态品牌客户，对业态意向品牌进行评估分析，拟定品牌意向调研报告；</w:t>
            </w:r>
          </w:p>
        </w:tc>
        <w:tc>
          <w:tcPr>
            <w:tcW w:w="850"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b w:val="0"/>
                <w:bCs/>
                <w:color w:val="000000"/>
                <w:sz w:val="18"/>
                <w:szCs w:val="18"/>
              </w:rPr>
            </w:pP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10</w:t>
            </w:r>
          </w:p>
        </w:tc>
      </w:tr>
      <w:tr>
        <w:tblPrEx>
          <w:tblCellMar>
            <w:top w:w="15" w:type="dxa"/>
            <w:left w:w="15" w:type="dxa"/>
            <w:bottom w:w="15" w:type="dxa"/>
            <w:right w:w="15" w:type="dxa"/>
          </w:tblCellMar>
        </w:tblPrEx>
        <w:trPr>
          <w:trHeight w:val="573" w:hRule="atLeast"/>
        </w:trPr>
        <w:tc>
          <w:tcPr>
            <w:tcW w:w="601" w:type="dxa"/>
            <w:tcBorders>
              <w:top w:val="single" w:color="808080" w:sz="4" w:space="0"/>
              <w:left w:val="single" w:color="808080" w:sz="12"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4</w:t>
            </w:r>
          </w:p>
        </w:tc>
        <w:tc>
          <w:tcPr>
            <w:tcW w:w="1013"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收入测算表</w:t>
            </w: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根据业态和落位进行租金收入测算</w:t>
            </w:r>
          </w:p>
        </w:tc>
        <w:tc>
          <w:tcPr>
            <w:tcW w:w="850"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收入测算EXCEL</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2</w:t>
            </w:r>
          </w:p>
        </w:tc>
      </w:tr>
      <w:tr>
        <w:tblPrEx>
          <w:tblCellMar>
            <w:top w:w="15" w:type="dxa"/>
            <w:left w:w="15" w:type="dxa"/>
            <w:bottom w:w="15" w:type="dxa"/>
            <w:right w:w="15" w:type="dxa"/>
          </w:tblCellMar>
        </w:tblPrEx>
        <w:trPr>
          <w:trHeight w:val="358" w:hRule="atLeast"/>
        </w:trPr>
        <w:tc>
          <w:tcPr>
            <w:tcW w:w="7812" w:type="dxa"/>
            <w:gridSpan w:val="6"/>
            <w:tcBorders>
              <w:top w:val="single" w:color="808080" w:sz="4" w:space="0"/>
              <w:left w:val="single" w:color="808080" w:sz="12" w:space="0"/>
              <w:bottom w:val="single" w:color="808080" w:sz="4" w:space="0"/>
              <w:right w:val="single" w:color="808080" w:sz="4" w:space="0"/>
            </w:tcBorders>
            <w:shd w:val="clear" w:color="auto" w:fill="F8CBAD"/>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根据项目现场条件分析</w:t>
            </w:r>
          </w:p>
        </w:tc>
      </w:tr>
      <w:tr>
        <w:tblPrEx>
          <w:tblCellMar>
            <w:top w:w="15" w:type="dxa"/>
            <w:left w:w="15" w:type="dxa"/>
            <w:bottom w:w="15" w:type="dxa"/>
            <w:right w:w="15" w:type="dxa"/>
          </w:tblCellMar>
        </w:tblPrEx>
        <w:trPr>
          <w:trHeight w:val="560" w:hRule="atLeast"/>
        </w:trPr>
        <w:tc>
          <w:tcPr>
            <w:tcW w:w="601" w:type="dxa"/>
            <w:tcBorders>
              <w:top w:val="single" w:color="808080" w:sz="4" w:space="0"/>
              <w:left w:val="single" w:color="808080" w:sz="12"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1013" w:type="dxa"/>
            <w:vMerge w:val="restart"/>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项目招商分析及建议</w:t>
            </w: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b w:val="0"/>
                <w:bCs/>
                <w:color w:val="000000"/>
                <w:sz w:val="18"/>
                <w:szCs w:val="18"/>
              </w:rPr>
            </w:pPr>
            <w:r>
              <w:rPr>
                <w:rStyle w:val="17"/>
                <w:rFonts w:hint="default"/>
                <w:b/>
                <w:bCs w:val="0"/>
                <w:sz w:val="18"/>
                <w:szCs w:val="18"/>
                <w:lang w:val="en-US" w:bidi="ar"/>
              </w:rPr>
              <w:t>品牌落位规划报告</w:t>
            </w:r>
            <w:r>
              <w:rPr>
                <w:rStyle w:val="13"/>
                <w:rFonts w:hint="default"/>
                <w:b w:val="0"/>
                <w:bCs/>
                <w:sz w:val="18"/>
                <w:szCs w:val="18"/>
                <w:lang w:val="en-US" w:bidi="ar"/>
              </w:rPr>
              <w:br w:type="textWrapping"/>
            </w:r>
            <w:r>
              <w:rPr>
                <w:rStyle w:val="13"/>
                <w:rFonts w:hint="default"/>
                <w:b w:val="0"/>
                <w:bCs/>
                <w:sz w:val="18"/>
                <w:szCs w:val="18"/>
                <w:lang w:val="en-US" w:bidi="ar"/>
              </w:rPr>
              <w:t>结合招商策略及商铺规划情况，拟定品牌落位规划报告。</w:t>
            </w:r>
          </w:p>
        </w:tc>
        <w:tc>
          <w:tcPr>
            <w:tcW w:w="850" w:type="dxa"/>
            <w:vMerge w:val="restart"/>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前期策划报告</w:t>
            </w:r>
            <w:r>
              <w:rPr>
                <w:rFonts w:hint="eastAsia" w:ascii="微软雅黑" w:hAnsi="微软雅黑" w:eastAsia="微软雅黑" w:cs="微软雅黑"/>
                <w:b w:val="0"/>
                <w:bCs/>
                <w:color w:val="000000"/>
                <w:kern w:val="0"/>
                <w:sz w:val="18"/>
                <w:szCs w:val="18"/>
                <w:lang w:val="en-US" w:eastAsia="zh-Hans" w:bidi="ar"/>
              </w:rPr>
              <w:t>PPT</w:t>
            </w:r>
            <w:r>
              <w:rPr>
                <w:rFonts w:hint="eastAsia" w:ascii="微软雅黑" w:hAnsi="微软雅黑" w:eastAsia="微软雅黑" w:cs="微软雅黑"/>
                <w:b w:val="0"/>
                <w:bCs/>
                <w:color w:val="000000"/>
                <w:kern w:val="0"/>
                <w:sz w:val="18"/>
                <w:szCs w:val="18"/>
                <w:lang w:val="en-US" w:bidi="ar"/>
              </w:rPr>
              <w:br w:type="textWrapping"/>
            </w:r>
            <w:r>
              <w:rPr>
                <w:rFonts w:hint="eastAsia" w:ascii="微软雅黑" w:hAnsi="微软雅黑" w:eastAsia="微软雅黑" w:cs="微软雅黑"/>
                <w:b w:val="0"/>
                <w:bCs/>
                <w:color w:val="000000"/>
                <w:kern w:val="0"/>
                <w:sz w:val="18"/>
                <w:szCs w:val="18"/>
                <w:lang w:val="en-US" w:bidi="ar"/>
              </w:rPr>
              <w:t>（终稿）</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2</w:t>
            </w:r>
          </w:p>
        </w:tc>
      </w:tr>
      <w:tr>
        <w:tblPrEx>
          <w:tblCellMar>
            <w:top w:w="15" w:type="dxa"/>
            <w:left w:w="15" w:type="dxa"/>
            <w:bottom w:w="15" w:type="dxa"/>
            <w:right w:w="15" w:type="dxa"/>
          </w:tblCellMar>
        </w:tblPrEx>
        <w:trPr>
          <w:trHeight w:val="1427" w:hRule="atLeast"/>
        </w:trPr>
        <w:tc>
          <w:tcPr>
            <w:tcW w:w="601" w:type="dxa"/>
            <w:tcBorders>
              <w:top w:val="single" w:color="808080" w:sz="4" w:space="0"/>
              <w:left w:val="single" w:color="808080" w:sz="12"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2</w:t>
            </w:r>
          </w:p>
        </w:tc>
        <w:tc>
          <w:tcPr>
            <w:tcW w:w="1013"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b w:val="0"/>
                <w:bCs/>
                <w:color w:val="000000"/>
                <w:sz w:val="18"/>
                <w:szCs w:val="18"/>
              </w:rPr>
            </w:pP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Style w:val="13"/>
                <w:rFonts w:hint="default"/>
                <w:b w:val="0"/>
                <w:bCs/>
                <w:sz w:val="18"/>
                <w:szCs w:val="18"/>
                <w:lang w:val="en-US" w:bidi="ar"/>
              </w:rPr>
            </w:pPr>
            <w:r>
              <w:rPr>
                <w:rStyle w:val="17"/>
                <w:rFonts w:hint="default"/>
                <w:b/>
                <w:bCs w:val="0"/>
                <w:sz w:val="18"/>
                <w:szCs w:val="18"/>
                <w:lang w:val="en-US" w:bidi="ar"/>
              </w:rPr>
              <w:t>动线设计</w:t>
            </w:r>
            <w:r>
              <w:rPr>
                <w:rStyle w:val="13"/>
                <w:rFonts w:hint="default"/>
                <w:b w:val="0"/>
                <w:bCs/>
                <w:sz w:val="18"/>
                <w:szCs w:val="18"/>
                <w:lang w:val="en-US" w:bidi="ar"/>
              </w:rPr>
              <w:br w:type="textWrapping"/>
            </w:r>
            <w:r>
              <w:rPr>
                <w:rStyle w:val="13"/>
                <w:rFonts w:hint="default"/>
                <w:b w:val="0"/>
                <w:bCs/>
                <w:sz w:val="18"/>
                <w:szCs w:val="18"/>
                <w:lang w:val="en-US" w:bidi="ar"/>
              </w:rPr>
              <w:t>1</w:t>
            </w:r>
            <w:r>
              <w:rPr>
                <w:rStyle w:val="13"/>
                <w:rFonts w:hint="default"/>
                <w:b w:val="0"/>
                <w:bCs/>
                <w:sz w:val="18"/>
                <w:szCs w:val="18"/>
                <w:lang w:bidi="ar"/>
              </w:rPr>
              <w:t>.</w:t>
            </w:r>
            <w:r>
              <w:rPr>
                <w:rStyle w:val="13"/>
                <w:rFonts w:hint="default"/>
                <w:b w:val="0"/>
                <w:bCs/>
                <w:sz w:val="18"/>
                <w:szCs w:val="18"/>
                <w:lang w:val="en-US" w:bidi="ar"/>
              </w:rPr>
              <w:t>根据项目设计规划，结合品牌业态及落位规划，对人流动线、物流动线、中庭空间、推广展示活动区位置、休闲休息区位置等进行深化，拟定商场动线规划，合理增加客流停留时间；</w:t>
            </w:r>
          </w:p>
          <w:p>
            <w:pPr>
              <w:widowControl/>
              <w:jc w:val="left"/>
              <w:textAlignment w:val="center"/>
              <w:rPr>
                <w:rFonts w:hint="eastAsia" w:ascii="微软雅黑" w:hAnsi="微软雅黑" w:eastAsia="微软雅黑" w:cs="微软雅黑"/>
                <w:b w:val="0"/>
                <w:bCs/>
                <w:color w:val="000000"/>
                <w:sz w:val="18"/>
                <w:szCs w:val="18"/>
              </w:rPr>
            </w:pPr>
            <w:r>
              <w:rPr>
                <w:rStyle w:val="13"/>
                <w:rFonts w:hint="default"/>
                <w:b w:val="0"/>
                <w:bCs/>
                <w:sz w:val="18"/>
                <w:szCs w:val="18"/>
                <w:lang w:val="en-US" w:bidi="ar"/>
              </w:rPr>
              <w:t>2</w:t>
            </w:r>
            <w:r>
              <w:rPr>
                <w:rStyle w:val="13"/>
                <w:rFonts w:hint="default"/>
                <w:b w:val="0"/>
                <w:bCs/>
                <w:sz w:val="18"/>
                <w:szCs w:val="18"/>
                <w:lang w:bidi="ar"/>
              </w:rPr>
              <w:t>.</w:t>
            </w:r>
            <w:r>
              <w:rPr>
                <w:rStyle w:val="13"/>
                <w:rFonts w:hint="default"/>
                <w:b w:val="0"/>
                <w:bCs/>
                <w:sz w:val="18"/>
                <w:szCs w:val="18"/>
                <w:lang w:val="en-US" w:bidi="ar"/>
              </w:rPr>
              <w:t>规划商业空间区域命名。</w:t>
            </w:r>
          </w:p>
        </w:tc>
        <w:tc>
          <w:tcPr>
            <w:tcW w:w="850"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b w:val="0"/>
                <w:bCs/>
                <w:color w:val="000000"/>
                <w:sz w:val="18"/>
                <w:szCs w:val="18"/>
              </w:rPr>
            </w:pP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2</w:t>
            </w:r>
          </w:p>
        </w:tc>
      </w:tr>
      <w:tr>
        <w:tblPrEx>
          <w:tblCellMar>
            <w:top w:w="15" w:type="dxa"/>
            <w:left w:w="15" w:type="dxa"/>
            <w:bottom w:w="15" w:type="dxa"/>
            <w:right w:w="15" w:type="dxa"/>
          </w:tblCellMar>
        </w:tblPrEx>
        <w:trPr>
          <w:trHeight w:val="324" w:hRule="atLeast"/>
        </w:trPr>
        <w:tc>
          <w:tcPr>
            <w:tcW w:w="601" w:type="dxa"/>
            <w:tcBorders>
              <w:top w:val="single" w:color="808080" w:sz="4" w:space="0"/>
              <w:left w:val="single" w:color="808080" w:sz="12"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3</w:t>
            </w:r>
          </w:p>
        </w:tc>
        <w:tc>
          <w:tcPr>
            <w:tcW w:w="1013"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收入测算表</w:t>
            </w: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根据业态和落位进行租金收入测算</w:t>
            </w:r>
          </w:p>
        </w:tc>
        <w:tc>
          <w:tcPr>
            <w:tcW w:w="850"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收入测算EXCEL</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2</w:t>
            </w:r>
          </w:p>
        </w:tc>
      </w:tr>
      <w:tr>
        <w:tblPrEx>
          <w:tblCellMar>
            <w:top w:w="15" w:type="dxa"/>
            <w:left w:w="15" w:type="dxa"/>
            <w:bottom w:w="15" w:type="dxa"/>
            <w:right w:w="15" w:type="dxa"/>
          </w:tblCellMar>
        </w:tblPrEx>
        <w:trPr>
          <w:trHeight w:val="589" w:hRule="atLeast"/>
        </w:trPr>
        <w:tc>
          <w:tcPr>
            <w:tcW w:w="601" w:type="dxa"/>
            <w:tcBorders>
              <w:top w:val="single" w:color="808080" w:sz="4" w:space="0"/>
              <w:left w:val="single" w:color="808080" w:sz="12"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4</w:t>
            </w:r>
          </w:p>
        </w:tc>
        <w:tc>
          <w:tcPr>
            <w:tcW w:w="1013"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多经以及其他可能收入预估</w:t>
            </w: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根据多经点位的可能租值进行测算</w:t>
            </w:r>
          </w:p>
        </w:tc>
        <w:tc>
          <w:tcPr>
            <w:tcW w:w="850"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点位展示+建议售价PPT</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color w:val="000000"/>
                <w:kern w:val="0"/>
                <w:sz w:val="18"/>
                <w:szCs w:val="18"/>
                <w:lang w:val="en-US" w:bidi="ar"/>
              </w:rPr>
              <w:t>2</w:t>
            </w:r>
          </w:p>
        </w:tc>
      </w:tr>
    </w:tbl>
    <w:p>
      <w:pPr>
        <w:keepNext/>
        <w:numPr>
          <w:ilvl w:val="0"/>
          <w:numId w:val="0"/>
        </w:numPr>
        <w:spacing w:line="400" w:lineRule="exact"/>
        <w:ind w:right="-441" w:rightChars="-210"/>
        <w:jc w:val="center"/>
        <w:outlineLvl w:val="0"/>
        <w:rPr>
          <w:rFonts w:ascii="仿宋_GB2312" w:hAnsi="Calibri" w:eastAsia="仿宋_GB2312" w:cs="Times New Roman"/>
          <w:b/>
          <w:sz w:val="32"/>
          <w:szCs w:val="32"/>
        </w:rPr>
      </w:pPr>
      <w:r>
        <w:rPr>
          <w:rFonts w:ascii="仿宋_GB2312" w:hAnsi="仿宋_GB2312" w:eastAsia="仿宋_GB2312" w:cs="仿宋_GB2312"/>
          <w:sz w:val="24"/>
          <w:szCs w:val="24"/>
        </w:rPr>
        <w:br w:type="page"/>
      </w:r>
      <w:r>
        <w:rPr>
          <w:rFonts w:hint="eastAsia" w:ascii="仿宋_GB2312" w:hAnsi="Calibri" w:eastAsia="仿宋_GB2312" w:cs="Times New Roman"/>
          <w:b/>
          <w:sz w:val="32"/>
          <w:szCs w:val="32"/>
          <w:highlight w:val="none"/>
        </w:rPr>
        <w:t>竞选须知</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广州塔广场商铺落位论证工作方案服务采购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r>
        <w:rPr>
          <w:rFonts w:hint="eastAsia" w:ascii="仿宋_GB2312" w:hAnsi="仿宋_GB2312" w:eastAsia="仿宋_GB2312" w:cs="仿宋_GB2312"/>
          <w:szCs w:val="24"/>
        </w:rPr>
        <w:t>。</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pPr>
        <w:spacing w:line="400" w:lineRule="exact"/>
        <w:rPr>
          <w:rFonts w:ascii="Calibri" w:hAnsi="Calibri" w:eastAsia="宋体" w:cs="Times New Roman"/>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对不同文字文本竞投文件的解释发生异议的，以中文文本为准。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（1）竞投人公司资质等相关证明文件；</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（2）项目服务建议书（参考附件7）；</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（3）服务响应文件，包括但不限于以下内容：</w:t>
      </w:r>
    </w:p>
    <w:p>
      <w:pPr>
        <w:spacing w:line="400" w:lineRule="exact"/>
        <w:ind w:firstLine="42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按本须知规定填写的项目竞选函（参考见附件2），法定代表人证明及授权书（参考附件3），竞投汇总表（参考附件4），资格文件声明的函（参考附件5）及业绩一览表（参考见附件6）；</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项目名称：广州塔广场商铺落位论证工作方案服务采购项目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项目名称：广州塔广场商铺落位论证工作方案服务采购项目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（1）递交地点：广州市越秀区流花路流花展贸中心16号馆2楼。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日上午10：00截止；逾期不予受理。</w:t>
      </w:r>
    </w:p>
    <w:p>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rPr>
        <w:t>三、评审/选定方法及标准</w:t>
      </w:r>
    </w:p>
    <w:p>
      <w:pPr>
        <w:spacing w:line="400" w:lineRule="exact"/>
        <w:rPr>
          <w:rFonts w:ascii="Calibri" w:hAnsi="Calibri" w:eastAsia="宋体" w:cs="Times New Roman"/>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w:t>
            </w:r>
            <w:r>
              <w:rPr>
                <w:rFonts w:hint="eastAsia" w:ascii="仿宋_GB2312" w:hAnsi="宋体" w:eastAsia="仿宋_GB2312" w:cs="Times New Roman"/>
                <w:szCs w:val="21"/>
                <w:lang w:val="en-US" w:eastAsia="zh-CN"/>
              </w:rPr>
              <w:t>顾问</w:t>
            </w:r>
            <w:r>
              <w:rPr>
                <w:rFonts w:hint="eastAsia" w:ascii="仿宋_GB2312" w:hAnsi="宋体" w:eastAsia="仿宋_GB2312" w:cs="Times New Roman"/>
                <w:szCs w:val="21"/>
              </w:rPr>
              <w:t>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宋体"/>
                <w:kern w:val="0"/>
                <w:szCs w:val="21"/>
                <w:lang w:val="en-US" w:eastAsia="zh-CN"/>
              </w:rPr>
              <w:t>=</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4.价格评分：</w:t>
            </w:r>
          </w:p>
          <w:p>
            <w:pPr>
              <w:widowControl/>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以通过本项目资格及符合性检查且若位于[项目限价*80%，项目限价]区间的竞投报价（不含税，下同）计算。竞投报价中</w:t>
            </w:r>
            <w:r>
              <w:rPr>
                <w:rFonts w:hint="eastAsia" w:ascii="仿宋_GB2312" w:hAnsi="宋体" w:eastAsia="仿宋_GB2312" w:cs="宋体"/>
                <w:kern w:val="0"/>
                <w:szCs w:val="21"/>
                <w:highlight w:val="none"/>
                <w:lang w:val="en-US" w:eastAsia="zh-CN"/>
              </w:rPr>
              <w:t>报价最低的</w:t>
            </w:r>
            <w:r>
              <w:rPr>
                <w:rFonts w:hint="eastAsia" w:ascii="仿宋_GB2312" w:hAnsi="宋体" w:eastAsia="仿宋_GB2312" w:cs="宋体"/>
                <w:kern w:val="0"/>
                <w:szCs w:val="21"/>
                <w:highlight w:val="none"/>
              </w:rPr>
              <w:t>单位得50分，其余报价单位的报价</w:t>
            </w:r>
            <w:r>
              <w:rPr>
                <w:rFonts w:hint="eastAsia" w:ascii="仿宋_GB2312" w:hAnsi="宋体" w:eastAsia="仿宋_GB2312" w:cs="宋体"/>
                <w:kern w:val="0"/>
                <w:szCs w:val="21"/>
                <w:highlight w:val="none"/>
                <w:lang w:val="en-US" w:eastAsia="zh-CN"/>
              </w:rPr>
              <w:t>按报价从低到高排序，第二名的单位得48分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第三名的报价单位得46分，依次类推，</w:t>
            </w:r>
            <w:r>
              <w:rPr>
                <w:rFonts w:hint="eastAsia" w:ascii="仿宋_GB2312" w:hAnsi="宋体" w:eastAsia="仿宋_GB2312" w:cs="宋体"/>
                <w:kern w:val="0"/>
                <w:szCs w:val="21"/>
                <w:highlight w:val="none"/>
              </w:rPr>
              <w:t>得出经济分。凡不在本项目设置的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商务评分+项目方案评分+价格评分=综合得分。评委根据竞投人综合得分高低排定名次。</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w:t>
            </w:r>
            <w:r>
              <w:rPr>
                <w:rFonts w:hint="eastAsia" w:ascii="仿宋_GB2312" w:hAnsi="宋体" w:eastAsia="仿宋_GB2312" w:cs="宋体"/>
                <w:kern w:val="0"/>
                <w:szCs w:val="21"/>
                <w:lang w:val="en-US" w:eastAsia="zh-CN"/>
              </w:rPr>
              <w:t>情况</w:t>
            </w:r>
            <w:r>
              <w:rPr>
                <w:rFonts w:hint="eastAsia" w:ascii="仿宋_GB2312" w:hAnsi="宋体" w:eastAsia="仿宋_GB2312" w:cs="Times New Roman"/>
                <w:szCs w:val="21"/>
              </w:rPr>
              <w:t>评分由高到低顺序排列。综合评分相同，且不含税报价、竞投报价和</w:t>
            </w:r>
            <w:r>
              <w:rPr>
                <w:rFonts w:hint="eastAsia" w:ascii="仿宋_GB2312" w:hAnsi="宋体" w:eastAsia="仿宋_GB2312" w:cs="Times New Roman"/>
                <w:szCs w:val="21"/>
                <w:lang w:val="en-US" w:eastAsia="zh-CN"/>
              </w:rPr>
              <w:t>商务</w:t>
            </w:r>
            <w:r>
              <w:rPr>
                <w:rFonts w:hint="eastAsia" w:ascii="仿宋_GB2312" w:hAnsi="宋体" w:eastAsia="仿宋_GB2312" w:cs="Times New Roman"/>
                <w:szCs w:val="21"/>
              </w:rPr>
              <w:t>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6" w:name="_Toc334797765"/>
      <w:r>
        <w:rPr>
          <w:rFonts w:hint="eastAsia" w:ascii="宋体" w:hAnsi="宋体" w:eastAsia="黑体" w:cs="宋体"/>
          <w:sz w:val="24"/>
          <w:szCs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bookmarkStart w:id="7" w:name="OLE_LINK3"/>
      <w:bookmarkStart w:id="8" w:name="OLE_LINK2"/>
      <w:r>
        <w:rPr>
          <w:rFonts w:hint="eastAsia" w:ascii="仿宋_GB2312" w:hAnsi="宋体" w:eastAsia="仿宋_GB2312" w:cs="宋体"/>
          <w:b/>
          <w:bCs/>
          <w:sz w:val="30"/>
          <w:szCs w:val="30"/>
        </w:rPr>
        <w:t>符合性检查表</w:t>
      </w:r>
      <w:bookmarkEnd w:id="6"/>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4</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竞投人需在提交竞投文件时提供项目服务建议书。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bl>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评委签名：</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价格及业绩评分评审表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0分</w:t>
            </w:r>
          </w:p>
        </w:tc>
        <w:tc>
          <w:tcPr>
            <w:tcW w:w="4866" w:type="dxa"/>
            <w:vAlign w:val="center"/>
          </w:tcPr>
          <w:p>
            <w:pPr>
              <w:spacing w:line="40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公司资信情况良好，服务过同类性质项目次数3次及以上：10分；服务过同类性质项目次数1-2次：5 分；未曾服务过同类性质项目：0分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提供相应合同或中标通知书等相关证明文件</w:t>
            </w:r>
            <w:r>
              <w:rPr>
                <w:rFonts w:hint="eastAsia" w:ascii="仿宋_GB2312" w:hAnsi="宋体" w:eastAsia="仿宋_GB2312" w:cs="宋体"/>
                <w:kern w:val="0"/>
                <w:szCs w:val="21"/>
                <w:lang w:eastAsia="zh-CN"/>
              </w:rPr>
              <w:t>）</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价格评分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以通过本项目资格及符合性检查且若位于[项目限价*80%，项目限价]区间的竞投报价（不含税，下同）计算。竞投报价中报价最低的单位得50分，</w:t>
            </w:r>
            <w:r>
              <w:rPr>
                <w:rFonts w:hint="eastAsia" w:ascii="仿宋_GB2312" w:hAnsi="宋体" w:eastAsia="仿宋_GB2312" w:cs="宋体"/>
                <w:kern w:val="0"/>
                <w:szCs w:val="21"/>
                <w:highlight w:val="none"/>
              </w:rPr>
              <w:t>其余报价单位的报价</w:t>
            </w:r>
            <w:r>
              <w:rPr>
                <w:rFonts w:hint="eastAsia" w:ascii="仿宋_GB2312" w:hAnsi="宋体" w:eastAsia="仿宋_GB2312" w:cs="宋体"/>
                <w:kern w:val="0"/>
                <w:szCs w:val="21"/>
                <w:highlight w:val="none"/>
                <w:lang w:val="en-US" w:eastAsia="zh-CN"/>
              </w:rPr>
              <w:t>按报价从低到高排序，第二名的单位得48分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第三名的报价单位得46分，依次类推，</w:t>
            </w:r>
            <w:r>
              <w:rPr>
                <w:rFonts w:hint="eastAsia" w:ascii="仿宋_GB2312" w:hAnsi="宋体" w:eastAsia="仿宋_GB2312" w:cs="宋体"/>
                <w:kern w:val="0"/>
                <w:szCs w:val="21"/>
                <w:highlight w:val="none"/>
              </w:rPr>
              <w:t>得出经济分。</w:t>
            </w:r>
            <w:r>
              <w:rPr>
                <w:rFonts w:hint="eastAsia" w:ascii="仿宋_GB2312" w:hAnsi="宋体" w:eastAsia="仿宋_GB2312" w:cs="宋体"/>
                <w:kern w:val="0"/>
                <w:szCs w:val="21"/>
              </w:rPr>
              <w:t>凡不在本项目设置的合理报价区间范围内的报价单位得0分。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rPr>
              <w:t>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hint="eastAsia" w:ascii="Calibri" w:hAnsi="Calibri" w:eastAsia="宋体" w:cs="Times New Roman"/>
          <w:szCs w:val="24"/>
        </w:rPr>
      </w:pPr>
      <w:r>
        <w:rPr>
          <w:rFonts w:hint="eastAsia" w:ascii="Calibri" w:hAnsi="Calibri" w:eastAsia="宋体" w:cs="Times New Roman"/>
          <w:szCs w:val="24"/>
        </w:rPr>
        <w:t>评委签名：</w:t>
      </w:r>
    </w:p>
    <w:p>
      <w:pPr>
        <w:jc w:val="center"/>
        <w:rPr>
          <w:rFonts w:ascii="Calibri" w:hAnsi="Calibri" w:eastAsia="宋体" w:cs="Times New Roman"/>
          <w:szCs w:val="24"/>
        </w:rPr>
      </w:pPr>
      <w:r>
        <w:rPr>
          <w:rFonts w:hint="eastAsia" w:ascii="宋体" w:hAnsi="宋体" w:eastAsia="宋体" w:cs="宋体"/>
          <w:b/>
          <w:sz w:val="32"/>
          <w:szCs w:val="32"/>
        </w:rPr>
        <w:t>项目方案评审表</w:t>
      </w:r>
      <w:r>
        <w:rPr>
          <w:rFonts w:hint="eastAsia" w:ascii="Calibri" w:hAnsi="Calibri" w:eastAsia="宋体" w:cs="Times New Roman"/>
          <w:szCs w:val="24"/>
        </w:rPr>
        <w:t xml:space="preserve">             </w:t>
      </w:r>
    </w:p>
    <w:p>
      <w:pPr>
        <w:jc w:val="right"/>
        <w:rPr>
          <w:rFonts w:hint="eastAsia" w:ascii="宋体" w:hAnsi="宋体" w:eastAsia="宋体" w:cs="宋体"/>
          <w:b/>
          <w:sz w:val="32"/>
          <w:szCs w:val="32"/>
        </w:rPr>
      </w:pPr>
      <w:r>
        <w:rPr>
          <w:rFonts w:hint="eastAsia" w:ascii="Calibri" w:hAnsi="Calibri" w:eastAsia="宋体" w:cs="Times New Roman"/>
          <w:szCs w:val="24"/>
        </w:rPr>
        <w:t xml:space="preserve">日期：    年  月 </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结构完整性</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15分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服务建议书结构完整</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宋体" w:eastAsia="仿宋_GB2312" w:cs="宋体"/>
                <w:kern w:val="0"/>
                <w:szCs w:val="21"/>
                <w:lang w:val="en-US" w:eastAsia="zh-CN"/>
              </w:rPr>
              <w:t>项目周边调研报告及分析建议、项目招商分析及建议、收入测算、多经以及其他可能收入预估等</w:t>
            </w:r>
            <w:r>
              <w:rPr>
                <w:rFonts w:hint="eastAsia" w:ascii="仿宋_GB2312" w:hAnsi="宋体" w:eastAsia="仿宋_GB2312" w:cs="宋体"/>
                <w:kern w:val="0"/>
                <w:szCs w:val="21"/>
              </w:rPr>
              <w:t>。优：11-15分；良：6-10分；差:0-5分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定位合理性</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服务建议书对项目定位准确，符合项目区位条件及发展规划。优：11-15分；良：6-10分；差:0-5分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项目亮点</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10</w:t>
            </w:r>
            <w:r>
              <w:rPr>
                <w:rFonts w:hint="eastAsia" w:ascii="仿宋_GB2312" w:hAnsi="宋体" w:eastAsia="仿宋_GB2312" w:cs="宋体"/>
                <w:kern w:val="0"/>
                <w:szCs w:val="21"/>
              </w:rPr>
              <w:t>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服务建议书中有亮点</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宋体" w:eastAsia="仿宋_GB2312" w:cs="宋体"/>
                <w:kern w:val="0"/>
                <w:szCs w:val="21"/>
                <w:lang w:val="en-US" w:eastAsia="zh-CN"/>
              </w:rPr>
              <w:t>项目布局及落位、招商建议、运营建议</w:t>
            </w:r>
            <w:r>
              <w:rPr>
                <w:rFonts w:hint="eastAsia" w:ascii="仿宋_GB2312" w:hAnsi="宋体" w:eastAsia="仿宋_GB2312" w:cs="宋体"/>
                <w:kern w:val="0"/>
                <w:szCs w:val="21"/>
                <w:highlight w:val="none"/>
                <w:lang w:val="en-US" w:eastAsia="zh-CN"/>
              </w:rPr>
              <w:t>中、收入预估等的</w:t>
            </w:r>
            <w:r>
              <w:rPr>
                <w:rFonts w:hint="eastAsia" w:ascii="仿宋_GB2312" w:hAnsi="宋体" w:eastAsia="仿宋_GB2312" w:cs="宋体"/>
                <w:kern w:val="0"/>
                <w:szCs w:val="21"/>
                <w:lang w:val="en-US" w:eastAsia="zh-CN"/>
              </w:rPr>
              <w:t>亮点优势</w:t>
            </w:r>
            <w:r>
              <w:rPr>
                <w:rFonts w:hint="eastAsia" w:ascii="仿宋_GB2312" w:hAnsi="宋体" w:eastAsia="仿宋_GB2312" w:cs="宋体"/>
                <w:kern w:val="0"/>
                <w:szCs w:val="21"/>
              </w:rPr>
              <w:t>。优：7-10分；良：4-6分；差:0-3分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r>
        <w:rPr>
          <w:rFonts w:hint="eastAsia" w:ascii="Calibri" w:hAnsi="Calibri" w:eastAsia="宋体" w:cs="Times New Roman"/>
          <w:szCs w:val="24"/>
        </w:rPr>
        <w:t>评委签名：</w:t>
      </w:r>
    </w:p>
    <w:bookmarkEnd w:id="7"/>
    <w:bookmarkEnd w:id="8"/>
    <w:p>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6"/>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商务</w:t>
            </w:r>
            <w:r>
              <w:rPr>
                <w:rFonts w:hint="eastAsia" w:ascii="仿宋_GB2312" w:hAnsi="宋体" w:eastAsia="仿宋_GB2312" w:cs="宋体"/>
                <w:kern w:val="0"/>
                <w:szCs w:val="21"/>
              </w:rPr>
              <w:t>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项目方案得分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p>
    <w:p>
      <w:pPr>
        <w:rPr>
          <w:rFonts w:ascii="Calibri" w:hAnsi="Calibri" w:eastAsia="宋体" w:cs="Times New Roman"/>
          <w:szCs w:val="24"/>
        </w:rPr>
      </w:pPr>
      <w:r>
        <w:rPr>
          <w:rFonts w:hint="eastAsia" w:ascii="Calibri" w:hAnsi="Calibri" w:eastAsia="宋体" w:cs="Times New Roman"/>
          <w:szCs w:val="24"/>
        </w:rPr>
        <w:t>评委签名：</w:t>
      </w:r>
    </w:p>
    <w:p>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p>
    <w:p>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pPr>
        <w:spacing w:line="400" w:lineRule="exact"/>
        <w:rPr>
          <w:rFonts w:ascii="仿宋_GB2312" w:hAnsi="Calibri" w:eastAsia="仿宋_GB2312" w:cs="Times New Roman"/>
          <w:szCs w:val="24"/>
        </w:rPr>
      </w:pPr>
    </w:p>
    <w:p>
      <w:pPr>
        <w:spacing w:line="400" w:lineRule="exact"/>
        <w:rPr>
          <w:rFonts w:ascii="仿宋_GB2312" w:hAnsi="Calibri" w:eastAsia="仿宋_GB2312" w:cs="Times New Roman"/>
          <w:szCs w:val="24"/>
        </w:rPr>
      </w:pPr>
    </w:p>
    <w:p>
      <w:pPr>
        <w:adjustRightInd w:val="0"/>
        <w:snapToGrid w:val="0"/>
        <w:spacing w:before="156" w:beforeLines="50"/>
        <w:jc w:val="center"/>
        <w:rPr>
          <w:rFonts w:hint="eastAsia" w:ascii="宋体" w:hAnsi="宋体" w:cs="黑体"/>
          <w:b/>
          <w:sz w:val="44"/>
          <w:szCs w:val="44"/>
        </w:rPr>
      </w:pPr>
    </w:p>
    <w:p>
      <w:pPr>
        <w:adjustRightInd w:val="0"/>
        <w:snapToGrid w:val="0"/>
        <w:spacing w:before="156" w:beforeLines="50"/>
        <w:jc w:val="center"/>
        <w:rPr>
          <w:rFonts w:hint="eastAsia" w:ascii="宋体" w:hAnsi="宋体"/>
          <w:b/>
          <w:sz w:val="44"/>
          <w:szCs w:val="44"/>
          <w:lang w:val="en-US"/>
        </w:rPr>
      </w:pPr>
      <w:r>
        <w:rPr>
          <w:rFonts w:hint="eastAsia" w:ascii="宋体" w:hAnsi="宋体"/>
          <w:b/>
          <w:sz w:val="44"/>
          <w:szCs w:val="44"/>
        </w:rPr>
        <w:t>广州塔广场商铺落位论证工作</w:t>
      </w:r>
      <w:r>
        <w:rPr>
          <w:rFonts w:hint="eastAsia" w:ascii="宋体" w:hAnsi="宋体"/>
          <w:b/>
          <w:sz w:val="44"/>
          <w:szCs w:val="44"/>
          <w:lang w:val="en-US"/>
        </w:rPr>
        <w:t>方案</w:t>
      </w:r>
    </w:p>
    <w:p>
      <w:pPr>
        <w:adjustRightInd w:val="0"/>
        <w:snapToGrid w:val="0"/>
        <w:spacing w:before="156" w:beforeLines="50"/>
        <w:jc w:val="center"/>
        <w:rPr>
          <w:rFonts w:ascii="宋体" w:hAnsi="宋体"/>
          <w:b/>
          <w:sz w:val="44"/>
          <w:szCs w:val="44"/>
        </w:rPr>
      </w:pPr>
      <w:r>
        <w:rPr>
          <w:rFonts w:hint="eastAsia" w:ascii="宋体" w:hAnsi="宋体"/>
          <w:b/>
          <w:sz w:val="44"/>
          <w:szCs w:val="44"/>
        </w:rPr>
        <w:t>服务合同</w:t>
      </w:r>
    </w:p>
    <w:p>
      <w:pPr>
        <w:adjustRightInd w:val="0"/>
        <w:snapToGrid w:val="0"/>
        <w:spacing w:before="156" w:beforeLines="50"/>
        <w:jc w:val="center"/>
        <w:rPr>
          <w:rFonts w:ascii="宋体" w:hAnsi="宋体"/>
          <w:b/>
          <w:szCs w:val="21"/>
        </w:rPr>
      </w:pPr>
    </w:p>
    <w:p>
      <w:pPr>
        <w:adjustRightInd w:val="0"/>
        <w:snapToGrid w:val="0"/>
        <w:spacing w:before="156" w:beforeLines="50"/>
        <w:jc w:val="center"/>
        <w:rPr>
          <w:rFonts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Pr>
        <w:adjustRightInd w:val="0"/>
        <w:snapToGrid w:val="0"/>
        <w:spacing w:before="156" w:beforeLines="50"/>
        <w:jc w:val="center"/>
        <w:rPr>
          <w:rFonts w:hint="eastAsia" w:ascii="宋体" w:hAnsi="宋体"/>
          <w:b/>
          <w:szCs w:val="21"/>
        </w:rPr>
      </w:pPr>
    </w:p>
    <w:p/>
    <w:p>
      <w:pPr>
        <w:adjustRightInd w:val="0"/>
        <w:snapToGrid w:val="0"/>
        <w:spacing w:after="156" w:afterLines="50"/>
        <w:jc w:val="center"/>
        <w:rPr>
          <w:rFonts w:hint="eastAsia" w:ascii="宋体" w:hAnsi="宋体"/>
          <w:b/>
          <w:sz w:val="28"/>
          <w:szCs w:val="28"/>
        </w:rPr>
      </w:pPr>
      <w:r>
        <w:rPr>
          <w:rFonts w:hint="eastAsia" w:ascii="宋体" w:hAnsi="宋体"/>
          <w:b/>
          <w:sz w:val="28"/>
          <w:szCs w:val="28"/>
        </w:rPr>
        <w:t>广州市城壹房地产</w:t>
      </w:r>
      <w:r>
        <w:rPr>
          <w:rFonts w:hint="eastAsia" w:ascii="宋体" w:hAnsi="宋体"/>
          <w:b/>
          <w:sz w:val="28"/>
          <w:szCs w:val="28"/>
          <w:lang w:val="en-US"/>
        </w:rPr>
        <w:t>顾问</w:t>
      </w:r>
      <w:r>
        <w:rPr>
          <w:rFonts w:hint="eastAsia" w:ascii="宋体" w:hAnsi="宋体"/>
          <w:b/>
          <w:sz w:val="28"/>
          <w:szCs w:val="28"/>
        </w:rPr>
        <w:t>有限公司</w:t>
      </w:r>
    </w:p>
    <w:p>
      <w:pPr>
        <w:adjustRightInd w:val="0"/>
        <w:snapToGrid w:val="0"/>
        <w:spacing w:after="156" w:afterLines="50"/>
        <w:ind w:firstLine="0" w:firstLineChars="0"/>
        <w:jc w:val="both"/>
        <w:rPr>
          <w:rFonts w:hint="default" w:ascii="宋体" w:hAnsi="宋体" w:eastAsia="宋体"/>
          <w:b/>
          <w:sz w:val="28"/>
          <w:szCs w:val="28"/>
          <w:u w:val="single"/>
          <w:lang w:val="en-US" w:eastAsia="zh-CN"/>
        </w:rPr>
      </w:pPr>
      <w:r>
        <w:rPr>
          <w:rFonts w:hint="eastAsia" w:ascii="宋体" w:hAnsi="宋体"/>
          <w:b/>
          <w:sz w:val="28"/>
          <w:szCs w:val="28"/>
          <w:u w:val="none"/>
          <w:lang w:val="en-US" w:eastAsia="zh-CN"/>
        </w:rPr>
        <w:t xml:space="preserve">                  </w:t>
      </w:r>
      <w:r>
        <w:rPr>
          <w:rFonts w:hint="eastAsia" w:ascii="宋体" w:hAnsi="宋体"/>
          <w:b/>
          <w:sz w:val="28"/>
          <w:szCs w:val="28"/>
          <w:u w:val="single"/>
          <w:lang w:val="en-US" w:eastAsia="zh-CN"/>
        </w:rPr>
        <w:t xml:space="preserve">                   </w:t>
      </w:r>
    </w:p>
    <w:p>
      <w:pPr>
        <w:rPr>
          <w:rFonts w:hint="eastAsia" w:ascii="宋体" w:hAnsi="宋体"/>
          <w:szCs w:val="21"/>
        </w:rPr>
        <w:sectPr>
          <w:headerReference r:id="rId3" w:type="default"/>
          <w:footerReference r:id="rId4" w:type="default"/>
          <w:footerReference r:id="rId5" w:type="even"/>
          <w:pgSz w:w="11906" w:h="16838"/>
          <w:pgMar w:top="1871" w:right="1871" w:bottom="1871" w:left="1871" w:header="964" w:footer="992" w:gutter="0"/>
          <w:cols w:space="720" w:num="1"/>
          <w:docGrid w:type="lines" w:linePitch="312" w:charSpace="0"/>
        </w:sectPr>
      </w:pPr>
    </w:p>
    <w:p>
      <w:pPr>
        <w:spacing w:before="78"/>
        <w:ind w:right="60"/>
        <w:rPr>
          <w:rFonts w:ascii="宋体" w:hAnsi="宋体" w:eastAsia="宋体" w:cs="宋体"/>
          <w:b/>
          <w:bCs/>
          <w:spacing w:val="6"/>
          <w:szCs w:val="21"/>
        </w:rPr>
      </w:pPr>
      <w:r>
        <w:rPr>
          <w:rFonts w:hint="eastAsia" w:ascii="宋体" w:hAnsi="宋体" w:eastAsia="宋体" w:cs="宋体"/>
          <w:b/>
          <w:bCs/>
          <w:spacing w:val="6"/>
          <w:szCs w:val="21"/>
        </w:rPr>
        <w:t>甲方：</w:t>
      </w:r>
    </w:p>
    <w:p>
      <w:pPr>
        <w:spacing w:before="78"/>
        <w:ind w:right="60"/>
        <w:rPr>
          <w:rFonts w:ascii="宋体" w:hAnsi="宋体" w:eastAsia="宋体" w:cs="宋体"/>
          <w:b/>
          <w:bCs/>
          <w:spacing w:val="6"/>
          <w:szCs w:val="21"/>
        </w:rPr>
      </w:pPr>
      <w:r>
        <w:rPr>
          <w:rFonts w:hint="eastAsia" w:ascii="宋体" w:hAnsi="宋体" w:eastAsia="宋体" w:cs="宋体"/>
          <w:b/>
          <w:bCs/>
          <w:spacing w:val="6"/>
          <w:szCs w:val="21"/>
        </w:rPr>
        <w:t>地址：</w:t>
      </w:r>
    </w:p>
    <w:p>
      <w:pPr>
        <w:spacing w:before="78"/>
        <w:ind w:right="60"/>
        <w:rPr>
          <w:rFonts w:ascii="宋体" w:hAnsi="宋体" w:eastAsia="宋体" w:cs="宋体"/>
          <w:b/>
          <w:bCs/>
          <w:spacing w:val="6"/>
          <w:szCs w:val="21"/>
        </w:rPr>
      </w:pPr>
      <w:r>
        <w:rPr>
          <w:rFonts w:hint="eastAsia" w:ascii="宋体" w:hAnsi="宋体" w:eastAsia="宋体" w:cs="宋体"/>
          <w:b/>
          <w:bCs/>
          <w:spacing w:val="6"/>
          <w:szCs w:val="21"/>
        </w:rPr>
        <w:t>法人代表：</w:t>
      </w:r>
    </w:p>
    <w:p>
      <w:pPr>
        <w:spacing w:before="78"/>
        <w:ind w:right="60"/>
        <w:rPr>
          <w:rFonts w:ascii="宋体" w:hAnsi="宋体" w:eastAsia="宋体" w:cs="宋体"/>
          <w:b/>
          <w:bCs/>
          <w:spacing w:val="6"/>
          <w:szCs w:val="21"/>
        </w:rPr>
      </w:pPr>
      <w:r>
        <w:rPr>
          <w:rFonts w:hint="eastAsia" w:ascii="宋体" w:hAnsi="宋体" w:eastAsia="宋体" w:cs="宋体"/>
          <w:b/>
          <w:bCs/>
          <w:spacing w:val="6"/>
          <w:szCs w:val="21"/>
        </w:rPr>
        <w:t>电话：</w:t>
      </w:r>
    </w:p>
    <w:p>
      <w:pPr>
        <w:adjustRightInd w:val="0"/>
        <w:snapToGrid w:val="0"/>
        <w:spacing w:before="156" w:beforeLines="50"/>
        <w:rPr>
          <w:rFonts w:hint="eastAsia" w:ascii="宋体" w:hAnsi="宋体"/>
          <w:b/>
          <w:bCs/>
          <w:szCs w:val="21"/>
        </w:rPr>
      </w:pPr>
    </w:p>
    <w:p>
      <w:pPr>
        <w:spacing w:before="78"/>
        <w:ind w:right="60"/>
        <w:rPr>
          <w:rFonts w:hint="eastAsia" w:ascii="宋体" w:hAnsi="宋体" w:eastAsia="宋体" w:cs="宋体"/>
          <w:b/>
          <w:bCs/>
          <w:spacing w:val="6"/>
          <w:szCs w:val="21"/>
        </w:rPr>
      </w:pPr>
      <w:r>
        <w:rPr>
          <w:rFonts w:hint="eastAsia" w:ascii="宋体" w:hAnsi="宋体" w:eastAsia="宋体" w:cs="宋体"/>
          <w:b/>
          <w:bCs/>
          <w:spacing w:val="6"/>
          <w:szCs w:val="21"/>
        </w:rPr>
        <w:t>乙方（受托方）：</w:t>
      </w:r>
    </w:p>
    <w:p>
      <w:pPr>
        <w:spacing w:before="78"/>
        <w:ind w:right="60"/>
        <w:rPr>
          <w:rFonts w:hint="eastAsia" w:ascii="宋体" w:hAnsi="宋体" w:eastAsia="宋体" w:cs="宋体"/>
          <w:b/>
          <w:bCs/>
          <w:spacing w:val="6"/>
          <w:szCs w:val="21"/>
        </w:rPr>
      </w:pPr>
      <w:r>
        <w:rPr>
          <w:rFonts w:hint="eastAsia" w:ascii="宋体" w:hAnsi="宋体" w:eastAsia="宋体" w:cs="宋体"/>
          <w:b/>
          <w:bCs/>
          <w:spacing w:val="6"/>
          <w:szCs w:val="21"/>
        </w:rPr>
        <w:t>法定代表人：</w:t>
      </w:r>
    </w:p>
    <w:p>
      <w:pPr>
        <w:spacing w:before="78"/>
        <w:ind w:right="60"/>
        <w:rPr>
          <w:rFonts w:hint="eastAsia" w:ascii="宋体" w:hAnsi="宋体" w:eastAsia="宋体" w:cs="宋体"/>
          <w:b/>
          <w:bCs/>
          <w:spacing w:val="6"/>
          <w:szCs w:val="21"/>
        </w:rPr>
      </w:pPr>
      <w:r>
        <w:rPr>
          <w:rFonts w:hint="eastAsia" w:ascii="宋体" w:hAnsi="宋体" w:eastAsia="宋体" w:cs="宋体"/>
          <w:b/>
          <w:bCs/>
          <w:spacing w:val="6"/>
          <w:szCs w:val="21"/>
        </w:rPr>
        <w:t>公司地址：</w:t>
      </w:r>
    </w:p>
    <w:p>
      <w:pPr>
        <w:spacing w:before="78"/>
        <w:ind w:right="60"/>
        <w:rPr>
          <w:rFonts w:hAnsi="宋体"/>
          <w:szCs w:val="21"/>
        </w:rPr>
      </w:pPr>
      <w:r>
        <w:rPr>
          <w:rFonts w:hint="eastAsia" w:ascii="宋体" w:hAnsi="宋体" w:eastAsia="宋体" w:cs="宋体"/>
          <w:b/>
          <w:bCs/>
          <w:spacing w:val="6"/>
          <w:szCs w:val="21"/>
        </w:rPr>
        <w:t xml:space="preserve">电话：  </w:t>
      </w:r>
      <w:r>
        <w:rPr>
          <w:rFonts w:hint="eastAsia" w:hAnsi="宋体"/>
          <w:szCs w:val="21"/>
        </w:rPr>
        <w:t xml:space="preserve">                  </w:t>
      </w:r>
    </w:p>
    <w:p>
      <w:pPr>
        <w:pStyle w:val="2"/>
        <w:tabs>
          <w:tab w:val="left" w:pos="720"/>
          <w:tab w:val="left" w:pos="1440"/>
          <w:tab w:val="left" w:pos="2160"/>
          <w:tab w:val="left" w:pos="2880"/>
        </w:tabs>
        <w:adjustRightInd w:val="0"/>
        <w:snapToGrid w:val="0"/>
        <w:spacing w:before="156" w:beforeLines="50" w:line="240" w:lineRule="auto"/>
        <w:ind w:left="0"/>
        <w:rPr>
          <w:rFonts w:hint="eastAsia" w:ascii="宋体" w:hAnsi="宋体"/>
          <w:sz w:val="21"/>
          <w:szCs w:val="21"/>
        </w:rPr>
      </w:pPr>
    </w:p>
    <w:p>
      <w:pPr>
        <w:adjustRightInd w:val="0"/>
        <w:snapToGrid w:val="0"/>
        <w:spacing w:before="156" w:beforeLines="50"/>
        <w:ind w:firstLine="420" w:firstLineChars="200"/>
        <w:rPr>
          <w:rFonts w:hint="eastAsia" w:hAnsi="宋体"/>
          <w:szCs w:val="21"/>
        </w:rPr>
      </w:pPr>
      <w:r>
        <w:rPr>
          <w:rFonts w:hint="eastAsia" w:hAnsi="宋体"/>
          <w:szCs w:val="21"/>
        </w:rPr>
        <w:t>根据《中华人民共和国</w:t>
      </w:r>
      <w:r>
        <w:rPr>
          <w:rFonts w:hint="eastAsia" w:hAnsi="宋体"/>
          <w:szCs w:val="21"/>
          <w:lang w:val="en-US"/>
        </w:rPr>
        <w:t>民法典</w:t>
      </w:r>
      <w:r>
        <w:rPr>
          <w:rFonts w:hint="eastAsia" w:hAnsi="宋体"/>
          <w:szCs w:val="21"/>
        </w:rPr>
        <w:t>》及有关法律、法规的规定，甲、乙双方在自愿、平等互利的基础上，经友好协商，就甲方委托乙方提供顾问服务事宜签订本合同，以供双方共同遵守。</w:t>
      </w:r>
    </w:p>
    <w:p>
      <w:pPr>
        <w:numPr>
          <w:ilvl w:val="0"/>
          <w:numId w:val="4"/>
        </w:numPr>
        <w:adjustRightInd w:val="0"/>
        <w:snapToGrid w:val="0"/>
        <w:spacing w:before="156" w:beforeLines="50"/>
        <w:rPr>
          <w:rFonts w:hint="eastAsia"/>
          <w:b/>
          <w:szCs w:val="21"/>
        </w:rPr>
      </w:pPr>
      <w:r>
        <w:rPr>
          <w:rFonts w:hint="eastAsia"/>
          <w:b/>
          <w:szCs w:val="21"/>
        </w:rPr>
        <w:t>项目说明</w:t>
      </w:r>
    </w:p>
    <w:p>
      <w:pPr>
        <w:numPr>
          <w:ilvl w:val="0"/>
          <w:numId w:val="5"/>
        </w:numPr>
        <w:adjustRightInd w:val="0"/>
        <w:snapToGrid w:val="0"/>
        <w:spacing w:before="156" w:beforeLines="50"/>
        <w:rPr>
          <w:rFonts w:hint="eastAsia"/>
          <w:color w:val="000000"/>
          <w:szCs w:val="21"/>
          <w:u w:val="single"/>
        </w:rPr>
      </w:pPr>
      <w:r>
        <w:rPr>
          <w:rFonts w:hint="eastAsia"/>
          <w:color w:val="000000"/>
          <w:szCs w:val="21"/>
        </w:rPr>
        <w:t>项目名称：</w:t>
      </w:r>
      <w:r>
        <w:rPr>
          <w:rFonts w:hint="eastAsia"/>
          <w:color w:val="000000"/>
          <w:szCs w:val="21"/>
          <w:u w:val="single"/>
        </w:rPr>
        <w:t>广州塔广场商铺落位论证工作</w:t>
      </w:r>
      <w:r>
        <w:rPr>
          <w:rFonts w:hint="eastAsia"/>
          <w:color w:val="000000"/>
          <w:szCs w:val="21"/>
          <w:u w:val="single"/>
          <w:lang w:val="en-US"/>
        </w:rPr>
        <w:t>方案</w:t>
      </w:r>
      <w:r>
        <w:rPr>
          <w:rFonts w:hint="eastAsia"/>
          <w:color w:val="000000"/>
          <w:szCs w:val="21"/>
        </w:rPr>
        <w:t>（简称“本项目”）</w:t>
      </w:r>
    </w:p>
    <w:p>
      <w:pPr>
        <w:numPr>
          <w:ilvl w:val="0"/>
          <w:numId w:val="5"/>
        </w:numPr>
        <w:adjustRightInd w:val="0"/>
        <w:snapToGrid w:val="0"/>
        <w:spacing w:before="156" w:beforeLines="50"/>
        <w:rPr>
          <w:rFonts w:hint="eastAsia"/>
          <w:color w:val="000000"/>
          <w:szCs w:val="21"/>
          <w:u w:val="single"/>
        </w:rPr>
      </w:pPr>
      <w:r>
        <w:rPr>
          <w:rFonts w:hint="eastAsia"/>
          <w:color w:val="000000"/>
          <w:szCs w:val="21"/>
        </w:rPr>
        <w:t>项目位置：</w:t>
      </w:r>
      <w:r>
        <w:rPr>
          <w:rFonts w:hint="eastAsia"/>
          <w:color w:val="000000"/>
          <w:szCs w:val="21"/>
          <w:u w:val="single"/>
        </w:rPr>
        <w:t>广东省广州市海珠区阅江西路2</w:t>
      </w:r>
      <w:r>
        <w:rPr>
          <w:rFonts w:hint="eastAsia"/>
          <w:color w:val="000000"/>
          <w:szCs w:val="21"/>
          <w:u w:val="single"/>
          <w:lang w:val="en-US"/>
        </w:rPr>
        <w:t>22</w:t>
      </w:r>
      <w:r>
        <w:rPr>
          <w:rFonts w:hint="eastAsia"/>
          <w:color w:val="000000"/>
          <w:szCs w:val="21"/>
          <w:u w:val="single"/>
        </w:rPr>
        <w:t>号</w:t>
      </w:r>
    </w:p>
    <w:p>
      <w:pPr>
        <w:widowControl w:val="0"/>
        <w:numPr>
          <w:ilvl w:val="0"/>
          <w:numId w:val="4"/>
        </w:numPr>
        <w:adjustRightInd w:val="0"/>
        <w:snapToGrid w:val="0"/>
        <w:spacing w:before="156" w:beforeLines="50"/>
        <w:jc w:val="both"/>
        <w:rPr>
          <w:rFonts w:hint="eastAsia"/>
          <w:kern w:val="0"/>
          <w:sz w:val="20"/>
          <w:szCs w:val="20"/>
        </w:rPr>
      </w:pPr>
      <w:r>
        <w:rPr>
          <w:rFonts w:hint="eastAsia" w:hAnsi="宋体"/>
          <w:b/>
          <w:szCs w:val="21"/>
        </w:rPr>
        <w:t>委托内容</w:t>
      </w:r>
    </w:p>
    <w:p>
      <w:pPr>
        <w:widowControl/>
        <w:numPr>
          <w:ilvl w:val="0"/>
          <w:numId w:val="6"/>
        </w:numPr>
        <w:jc w:val="left"/>
        <w:rPr>
          <w:color w:val="FF0000"/>
          <w:kern w:val="0"/>
          <w:sz w:val="20"/>
          <w:szCs w:val="20"/>
          <w:lang w:val="en-US"/>
        </w:rPr>
      </w:pPr>
      <w:r>
        <w:rPr>
          <w:rFonts w:hint="eastAsia"/>
          <w:lang w:val="en-US"/>
        </w:rPr>
        <w:t>本次论证工作方案内容为：</w:t>
      </w:r>
    </w:p>
    <w:p>
      <w:pPr>
        <w:widowControl/>
        <w:numPr>
          <w:ilvl w:val="0"/>
          <w:numId w:val="7"/>
        </w:numPr>
        <w:ind w:left="420" w:leftChars="200"/>
        <w:jc w:val="left"/>
        <w:rPr>
          <w:lang w:val="en-US"/>
        </w:rPr>
      </w:pPr>
      <w:r>
        <w:rPr>
          <w:rFonts w:hint="eastAsia"/>
          <w:lang w:val="en-US"/>
        </w:rPr>
        <w:t>对广州塔广场的商业定位、业态布局、品牌商户落位等方面进行深入研究和调研，在招商、运营、推广等不同阶段制定中长期目标；</w:t>
      </w:r>
    </w:p>
    <w:p>
      <w:pPr>
        <w:widowControl/>
        <w:numPr>
          <w:ilvl w:val="0"/>
          <w:numId w:val="7"/>
        </w:numPr>
        <w:ind w:left="420" w:leftChars="200"/>
        <w:jc w:val="left"/>
        <w:rPr>
          <w:lang w:val="en-US"/>
        </w:rPr>
      </w:pPr>
      <w:r>
        <w:rPr>
          <w:rFonts w:hint="eastAsia"/>
          <w:lang w:val="en-US"/>
        </w:rPr>
        <w:t>进行商家访谈，对物业的设计及租金定价提出可行性建议。对主力店商铺、其他品牌业态进行具体落位，并根据市场谈判情况和招商进度进行布局调整；</w:t>
      </w:r>
    </w:p>
    <w:p>
      <w:pPr>
        <w:widowControl/>
        <w:numPr>
          <w:ilvl w:val="0"/>
          <w:numId w:val="0"/>
        </w:numPr>
        <w:ind w:left="420" w:leftChars="200" w:firstLine="420" w:firstLineChars="0"/>
        <w:jc w:val="left"/>
        <w:rPr>
          <w:rFonts w:hint="eastAsia" w:ascii="Times New Roman" w:hAnsi="Times New Roman" w:eastAsia="宋体" w:cs="Times New Roman"/>
          <w:lang w:val="en-US"/>
        </w:rPr>
      </w:pPr>
      <w:r>
        <w:rPr>
          <w:rFonts w:hint="eastAsia" w:ascii="Times New Roman" w:hAnsi="Times New Roman" w:eastAsia="宋体" w:cs="Times New Roman"/>
          <w:lang w:val="en-US"/>
        </w:rPr>
        <w:t>具体内容详见附件</w:t>
      </w:r>
      <w:r>
        <w:rPr>
          <w:rFonts w:hint="eastAsia" w:ascii="Times New Roman" w:hAnsi="Times New Roman" w:eastAsia="宋体" w:cs="Times New Roman"/>
          <w:lang w:val="en-US" w:eastAsia="zh-CN"/>
        </w:rPr>
        <w:t>。</w:t>
      </w:r>
    </w:p>
    <w:p>
      <w:pPr>
        <w:numPr>
          <w:ilvl w:val="0"/>
          <w:numId w:val="4"/>
        </w:numPr>
        <w:adjustRightInd w:val="0"/>
        <w:snapToGrid w:val="0"/>
        <w:spacing w:before="156" w:beforeLines="50"/>
        <w:rPr>
          <w:b/>
          <w:szCs w:val="21"/>
        </w:rPr>
      </w:pPr>
      <w:r>
        <w:rPr>
          <w:rFonts w:hint="eastAsia" w:hAnsi="宋体"/>
          <w:b/>
          <w:szCs w:val="21"/>
        </w:rPr>
        <w:t>合同期限</w:t>
      </w:r>
    </w:p>
    <w:p>
      <w:pPr>
        <w:numPr>
          <w:ilvl w:val="0"/>
          <w:numId w:val="8"/>
        </w:numPr>
        <w:adjustRightInd w:val="0"/>
        <w:snapToGrid w:val="0"/>
        <w:spacing w:before="156" w:beforeLines="50"/>
        <w:rPr>
          <w:rFonts w:hint="eastAsia" w:hAnsi="宋体"/>
          <w:szCs w:val="21"/>
        </w:rPr>
      </w:pPr>
      <w:r>
        <w:rPr>
          <w:rFonts w:hint="eastAsia"/>
          <w:szCs w:val="21"/>
        </w:rPr>
        <w:t>自合同签订之日起至项目服务内容经甲方验收合格为止。</w:t>
      </w:r>
    </w:p>
    <w:p>
      <w:pPr>
        <w:numPr>
          <w:ilvl w:val="0"/>
          <w:numId w:val="0"/>
        </w:numPr>
        <w:adjustRightInd w:val="0"/>
        <w:snapToGrid w:val="0"/>
        <w:spacing w:before="156" w:beforeLines="50"/>
        <w:ind w:left="420" w:firstLine="420"/>
        <w:rPr>
          <w:rFonts w:hint="eastAsia" w:hAnsi="宋体"/>
          <w:szCs w:val="21"/>
        </w:rPr>
      </w:pPr>
      <w:r>
        <w:rPr>
          <w:rFonts w:hint="eastAsia" w:hAnsi="宋体"/>
          <w:szCs w:val="21"/>
        </w:rPr>
        <w:t>注：本合同“工作日”，均按每周5个工作日计，国家法定节假日除外。</w:t>
      </w:r>
    </w:p>
    <w:p>
      <w:pPr>
        <w:numPr>
          <w:ilvl w:val="0"/>
          <w:numId w:val="4"/>
        </w:numPr>
        <w:adjustRightInd w:val="0"/>
        <w:snapToGrid w:val="0"/>
        <w:spacing w:before="156" w:beforeLines="50"/>
        <w:rPr>
          <w:rFonts w:hAnsi="宋体"/>
          <w:b/>
          <w:szCs w:val="21"/>
        </w:rPr>
      </w:pPr>
      <w:r>
        <w:rPr>
          <w:rFonts w:hint="eastAsia" w:hAnsi="宋体"/>
          <w:b/>
          <w:szCs w:val="21"/>
        </w:rPr>
        <w:t>工作成果</w:t>
      </w:r>
    </w:p>
    <w:p>
      <w:pPr>
        <w:numPr>
          <w:ilvl w:val="0"/>
          <w:numId w:val="9"/>
        </w:numPr>
        <w:adjustRightInd w:val="0"/>
        <w:snapToGrid w:val="0"/>
        <w:spacing w:before="156" w:beforeLines="50"/>
        <w:rPr>
          <w:rFonts w:hint="eastAsia" w:hAnsi="宋体"/>
          <w:szCs w:val="21"/>
        </w:rPr>
      </w:pPr>
      <w:r>
        <w:rPr>
          <w:rFonts w:hint="eastAsia"/>
          <w:lang w:val="en-US"/>
        </w:rPr>
        <w:t>论证工作方案</w:t>
      </w:r>
      <w:r>
        <w:rPr>
          <w:rFonts w:hint="eastAsia" w:hAnsi="宋体"/>
          <w:szCs w:val="21"/>
        </w:rPr>
        <w:t>应为PPT</w:t>
      </w:r>
      <w:r>
        <w:rPr>
          <w:rFonts w:hAnsi="宋体"/>
          <w:szCs w:val="21"/>
        </w:rPr>
        <w:t>格式</w:t>
      </w:r>
      <w:r>
        <w:rPr>
          <w:rFonts w:hint="eastAsia" w:hAnsi="宋体"/>
          <w:szCs w:val="21"/>
        </w:rPr>
        <w:t>和excel格式版本</w:t>
      </w:r>
      <w:r>
        <w:rPr>
          <w:rFonts w:hint="eastAsia" w:hAnsi="宋体"/>
          <w:szCs w:val="21"/>
          <w:lang w:val="en-US" w:eastAsia="zh-CN"/>
        </w:rPr>
        <w:t>提供</w:t>
      </w:r>
      <w:r>
        <w:rPr>
          <w:rFonts w:hint="eastAsia" w:hAnsi="宋体"/>
          <w:szCs w:val="21"/>
        </w:rPr>
        <w:t>。</w:t>
      </w:r>
      <w:r>
        <w:rPr>
          <w:rFonts w:hint="eastAsia" w:hAnsi="宋体"/>
          <w:szCs w:val="21"/>
          <w:lang w:val="en-US"/>
        </w:rPr>
        <w:t>最终</w:t>
      </w:r>
      <w:r>
        <w:rPr>
          <w:rFonts w:hint="eastAsia" w:hAnsi="宋体"/>
          <w:szCs w:val="21"/>
        </w:rPr>
        <w:t>提交的工作成果应是独立客观的，是基于对实际市场情况作出的中立判断。如有充分的资料及事实的支持下，甲方的意见也应当得到尊重，由乙方合适地融入报告内容中。</w:t>
      </w:r>
    </w:p>
    <w:p>
      <w:pPr>
        <w:numPr>
          <w:ilvl w:val="0"/>
          <w:numId w:val="9"/>
        </w:numPr>
        <w:adjustRightInd w:val="0"/>
        <w:snapToGrid w:val="0"/>
        <w:spacing w:before="156" w:beforeLines="50"/>
        <w:rPr>
          <w:rFonts w:hint="eastAsia" w:hAnsi="宋体"/>
          <w:szCs w:val="21"/>
        </w:rPr>
      </w:pPr>
      <w:r>
        <w:rPr>
          <w:rFonts w:hint="eastAsia"/>
          <w:lang w:val="en-US"/>
        </w:rPr>
        <w:t>论证工作方案</w:t>
      </w:r>
      <w:r>
        <w:rPr>
          <w:rFonts w:hint="eastAsia" w:hAnsi="宋体"/>
          <w:szCs w:val="21"/>
        </w:rPr>
        <w:t>的知识产权属于甲方，乙方拥有署名权。</w:t>
      </w:r>
    </w:p>
    <w:p>
      <w:pPr>
        <w:numPr>
          <w:ilvl w:val="0"/>
          <w:numId w:val="4"/>
        </w:numPr>
        <w:adjustRightInd w:val="0"/>
        <w:snapToGrid w:val="0"/>
        <w:spacing w:before="156" w:beforeLines="50"/>
        <w:rPr>
          <w:b/>
          <w:szCs w:val="21"/>
        </w:rPr>
      </w:pPr>
      <w:r>
        <w:rPr>
          <w:rFonts w:hint="eastAsia" w:hAnsi="宋体"/>
          <w:b/>
          <w:szCs w:val="21"/>
        </w:rPr>
        <w:t>服务费用及付款方式</w:t>
      </w:r>
    </w:p>
    <w:p>
      <w:pPr>
        <w:numPr>
          <w:ilvl w:val="0"/>
          <w:numId w:val="10"/>
        </w:numPr>
        <w:adjustRightInd w:val="0"/>
        <w:snapToGrid w:val="0"/>
        <w:spacing w:before="156" w:beforeLines="50"/>
        <w:ind w:left="420"/>
        <w:rPr>
          <w:rFonts w:hAnsi="宋体"/>
          <w:b/>
          <w:bCs/>
          <w:szCs w:val="21"/>
        </w:rPr>
      </w:pPr>
      <w:r>
        <w:rPr>
          <w:rFonts w:hint="eastAsia" w:hAnsi="宋体"/>
          <w:b/>
          <w:bCs/>
          <w:szCs w:val="21"/>
          <w:lang w:val="en-US" w:eastAsia="zh-CN"/>
        </w:rPr>
        <w:t>顾问</w:t>
      </w:r>
      <w:r>
        <w:rPr>
          <w:rFonts w:hint="eastAsia" w:hAnsi="宋体"/>
          <w:b/>
          <w:bCs/>
          <w:szCs w:val="21"/>
        </w:rPr>
        <w:t>服务费：</w:t>
      </w:r>
    </w:p>
    <w:p>
      <w:pPr>
        <w:pStyle w:val="16"/>
        <w:tabs>
          <w:tab w:val="left" w:pos="851"/>
        </w:tabs>
        <w:spacing w:line="360" w:lineRule="auto"/>
        <w:ind w:firstLineChars="0"/>
        <w:jc w:val="left"/>
        <w:rPr>
          <w:rFonts w:ascii="宋体" w:hAnsi="宋体"/>
          <w:sz w:val="21"/>
          <w:szCs w:val="21"/>
        </w:rPr>
      </w:pPr>
      <w:r>
        <w:rPr>
          <w:rFonts w:hint="eastAsia" w:ascii="宋体" w:hAnsi="宋体"/>
          <w:sz w:val="21"/>
          <w:szCs w:val="21"/>
        </w:rPr>
        <w:t>甲方委托乙方进行该项目</w:t>
      </w:r>
      <w:r>
        <w:rPr>
          <w:rFonts w:hint="eastAsia" w:ascii="宋体" w:hAnsi="宋体"/>
          <w:sz w:val="21"/>
          <w:szCs w:val="21"/>
          <w:lang w:val="en-US" w:eastAsia="zh-CN"/>
        </w:rPr>
        <w:t>顾问</w:t>
      </w:r>
      <w:r>
        <w:rPr>
          <w:rFonts w:hint="eastAsia" w:ascii="宋体" w:hAnsi="宋体"/>
          <w:sz w:val="21"/>
          <w:szCs w:val="21"/>
        </w:rPr>
        <w:t>服务费为人民币</w:t>
      </w:r>
      <w:r>
        <w:rPr>
          <w:rFonts w:hint="eastAsia" w:ascii="宋体" w:hAnsi="宋体"/>
          <w:sz w:val="21"/>
          <w:szCs w:val="21"/>
          <w:u w:val="single"/>
          <w:lang w:val="en-US" w:eastAsia="zh-CN"/>
        </w:rPr>
        <w:t xml:space="preserve">      </w:t>
      </w:r>
      <w:r>
        <w:rPr>
          <w:rFonts w:hint="eastAsia" w:ascii="宋体" w:hAnsi="宋体"/>
          <w:sz w:val="21"/>
          <w:szCs w:val="21"/>
        </w:rPr>
        <w:t>元（大写：</w:t>
      </w:r>
      <w:r>
        <w:rPr>
          <w:rFonts w:hint="eastAsia" w:ascii="宋体" w:hAnsi="宋体"/>
          <w:sz w:val="21"/>
          <w:szCs w:val="21"/>
          <w:u w:val="single"/>
          <w:lang w:val="en-US" w:eastAsia="zh-CN"/>
        </w:rPr>
        <w:t xml:space="preserve">      </w:t>
      </w:r>
      <w:r>
        <w:rPr>
          <w:rFonts w:hint="eastAsia" w:ascii="宋体" w:hAnsi="宋体"/>
          <w:sz w:val="21"/>
          <w:szCs w:val="21"/>
        </w:rPr>
        <w:t>），其中不含税金额为人民币</w:t>
      </w:r>
      <w:r>
        <w:rPr>
          <w:rFonts w:hint="eastAsia" w:ascii="宋体" w:hAnsi="宋体"/>
          <w:sz w:val="21"/>
          <w:szCs w:val="21"/>
          <w:u w:val="single"/>
          <w:lang w:val="en-US" w:eastAsia="zh-CN"/>
        </w:rPr>
        <w:t xml:space="preserve">      </w:t>
      </w:r>
      <w:r>
        <w:rPr>
          <w:rFonts w:hint="eastAsia" w:ascii="宋体" w:hAnsi="宋体"/>
          <w:sz w:val="21"/>
          <w:szCs w:val="21"/>
        </w:rPr>
        <w:t>元（大写：</w:t>
      </w:r>
      <w:r>
        <w:rPr>
          <w:rFonts w:hint="eastAsia" w:ascii="宋体" w:hAnsi="宋体"/>
          <w:sz w:val="21"/>
          <w:szCs w:val="21"/>
          <w:u w:val="single"/>
          <w:lang w:val="en-US" w:eastAsia="zh-CN"/>
        </w:rPr>
        <w:t xml:space="preserve">       </w:t>
      </w:r>
      <w:r>
        <w:rPr>
          <w:rFonts w:hint="eastAsia" w:ascii="宋体" w:hAnsi="宋体"/>
          <w:sz w:val="21"/>
          <w:szCs w:val="21"/>
        </w:rPr>
        <w:t>），增值税为人民币</w:t>
      </w:r>
      <w:r>
        <w:rPr>
          <w:rFonts w:hint="eastAsia" w:ascii="宋体" w:hAnsi="宋体"/>
          <w:sz w:val="21"/>
          <w:szCs w:val="21"/>
          <w:u w:val="single"/>
          <w:lang w:val="en-US" w:eastAsia="zh-CN"/>
        </w:rPr>
        <w:t xml:space="preserve">      </w:t>
      </w:r>
      <w:r>
        <w:rPr>
          <w:rFonts w:hint="eastAsia" w:ascii="宋体" w:hAnsi="宋体"/>
          <w:sz w:val="21"/>
          <w:szCs w:val="21"/>
        </w:rPr>
        <w:t>元（大写：</w:t>
      </w:r>
      <w:r>
        <w:rPr>
          <w:rFonts w:hint="eastAsia" w:ascii="宋体" w:hAnsi="宋体"/>
          <w:sz w:val="21"/>
          <w:szCs w:val="21"/>
          <w:u w:val="single"/>
          <w:lang w:val="en-US" w:eastAsia="zh-CN"/>
        </w:rPr>
        <w:t xml:space="preserve">     </w:t>
      </w:r>
      <w:r>
        <w:rPr>
          <w:rFonts w:hint="eastAsia" w:ascii="宋体" w:hAnsi="宋体"/>
          <w:sz w:val="21"/>
          <w:szCs w:val="21"/>
        </w:rPr>
        <w:t>）。</w:t>
      </w:r>
    </w:p>
    <w:p>
      <w:pPr>
        <w:numPr>
          <w:ilvl w:val="0"/>
          <w:numId w:val="10"/>
        </w:numPr>
        <w:adjustRightInd w:val="0"/>
        <w:snapToGrid w:val="0"/>
        <w:spacing w:before="156" w:beforeLines="50"/>
        <w:ind w:left="420"/>
        <w:rPr>
          <w:rFonts w:hAnsi="宋体"/>
          <w:b/>
          <w:bCs/>
          <w:szCs w:val="21"/>
        </w:rPr>
      </w:pPr>
      <w:r>
        <w:rPr>
          <w:rFonts w:hint="eastAsia" w:hAnsi="宋体"/>
          <w:b/>
          <w:bCs/>
          <w:szCs w:val="21"/>
        </w:rPr>
        <w:t>支付方式</w:t>
      </w:r>
    </w:p>
    <w:p>
      <w:pPr>
        <w:pStyle w:val="16"/>
        <w:tabs>
          <w:tab w:val="left" w:pos="993"/>
        </w:tabs>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2.1合同签订之日起十五个工作日内，甲方向乙方支付合同总费用的50%，即人民币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Style w:val="16"/>
        <w:tabs>
          <w:tab w:val="left" w:pos="993"/>
        </w:tabs>
        <w:spacing w:line="360" w:lineRule="auto"/>
        <w:ind w:left="0" w:firstLine="420" w:firstLineChars="200"/>
        <w:jc w:val="left"/>
        <w:rPr>
          <w:rFonts w:hint="eastAsia" w:ascii="宋体" w:hAnsi="宋体" w:eastAsia="宋体" w:cs="宋体"/>
          <w:sz w:val="21"/>
          <w:szCs w:val="21"/>
        </w:rPr>
      </w:pPr>
      <w:r>
        <w:rPr>
          <w:rFonts w:hint="eastAsia" w:ascii="宋体" w:hAnsi="宋体" w:eastAsia="宋体" w:cs="宋体"/>
          <w:sz w:val="21"/>
          <w:szCs w:val="21"/>
        </w:rPr>
        <w:t>2.2乙方提交本合同附件约定的全部工作成果并经甲方验收合格后的十五个工作日内, 甲方向乙方支付合同总费用的50%，即人民币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Style w:val="16"/>
        <w:tabs>
          <w:tab w:val="left" w:pos="851"/>
        </w:tabs>
        <w:spacing w:line="360" w:lineRule="auto"/>
        <w:ind w:left="0" w:firstLine="420" w:firstLineChars="200"/>
        <w:jc w:val="left"/>
        <w:rPr>
          <w:rFonts w:hint="eastAsia" w:ascii="宋体" w:hAnsi="宋体"/>
          <w:sz w:val="21"/>
          <w:szCs w:val="21"/>
        </w:rPr>
      </w:pPr>
      <w:r>
        <w:rPr>
          <w:rFonts w:hint="eastAsia" w:ascii="宋体" w:hAnsi="宋体" w:eastAsia="宋体" w:cs="宋体"/>
          <w:sz w:val="21"/>
          <w:szCs w:val="21"/>
        </w:rPr>
        <w:t>2.3在甲方付款前，乙方须</w:t>
      </w:r>
      <w:r>
        <w:rPr>
          <w:rFonts w:hint="eastAsia" w:ascii="宋体" w:hAnsi="宋体" w:eastAsia="宋体" w:cs="宋体"/>
          <w:sz w:val="21"/>
          <w:szCs w:val="21"/>
          <w:lang w:eastAsia="zh-CN"/>
        </w:rPr>
        <w:t>提前七个工作日</w:t>
      </w:r>
      <w:r>
        <w:rPr>
          <w:rFonts w:hint="eastAsia" w:ascii="宋体" w:hAnsi="宋体" w:eastAsia="宋体" w:cs="宋体"/>
          <w:sz w:val="21"/>
          <w:szCs w:val="21"/>
        </w:rPr>
        <w:t>提供</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的增值税专用发票给甲方。如因乙方银行账户问题或乙方出具发票发生迟延，则甲方付款相应顺延。</w:t>
      </w:r>
    </w:p>
    <w:p>
      <w:pPr>
        <w:numPr>
          <w:ilvl w:val="0"/>
          <w:numId w:val="10"/>
        </w:numPr>
        <w:spacing w:line="360" w:lineRule="auto"/>
        <w:ind w:left="420"/>
        <w:jc w:val="left"/>
        <w:rPr>
          <w:rFonts w:ascii="宋体" w:hAnsi="宋体"/>
          <w:b/>
          <w:bCs/>
          <w:szCs w:val="21"/>
          <w:u w:val="single"/>
        </w:rPr>
      </w:pPr>
      <w:r>
        <w:rPr>
          <w:rFonts w:hint="eastAsia" w:hAnsi="宋体"/>
          <w:b/>
          <w:bCs/>
          <w:szCs w:val="21"/>
        </w:rPr>
        <w:t>乙方银行账户信息为：</w:t>
      </w:r>
    </w:p>
    <w:p>
      <w:pPr>
        <w:spacing w:line="360" w:lineRule="auto"/>
        <w:ind w:firstLine="420" w:firstLineChars="0"/>
        <w:jc w:val="left"/>
        <w:rPr>
          <w:rFonts w:hint="default" w:ascii="宋体" w:hAnsi="宋体" w:eastAsia="宋体"/>
          <w:szCs w:val="21"/>
          <w:lang w:val="en-US" w:eastAsia="zh-CN"/>
        </w:rPr>
      </w:pPr>
      <w:r>
        <w:rPr>
          <w:rFonts w:hint="eastAsia" w:ascii="宋体" w:hAnsi="宋体"/>
          <w:szCs w:val="21"/>
        </w:rPr>
        <w:t>开户银行：</w:t>
      </w:r>
      <w:r>
        <w:rPr>
          <w:rFonts w:hint="eastAsia" w:ascii="宋体" w:hAnsi="宋体" w:eastAsia="宋体" w:cs="微软雅黑"/>
          <w:b w:val="0"/>
          <w:bCs w:val="0"/>
          <w:sz w:val="21"/>
          <w:szCs w:val="21"/>
          <w:u w:val="single"/>
          <w:lang w:val="en-US" w:eastAsia="zh-CN"/>
        </w:rPr>
        <w:t xml:space="preserve">                     </w:t>
      </w:r>
    </w:p>
    <w:p>
      <w:pPr>
        <w:spacing w:line="360" w:lineRule="auto"/>
        <w:ind w:firstLine="420" w:firstLineChars="0"/>
        <w:jc w:val="left"/>
        <w:rPr>
          <w:rFonts w:hint="default" w:ascii="宋体" w:hAnsi="宋体" w:eastAsia="宋体"/>
          <w:szCs w:val="21"/>
          <w:lang w:val="en-US" w:eastAsia="zh-CN"/>
        </w:rPr>
      </w:pPr>
      <w:r>
        <w:rPr>
          <w:rFonts w:hint="eastAsia" w:ascii="宋体" w:hAnsi="宋体"/>
          <w:szCs w:val="21"/>
        </w:rPr>
        <w:t>户    名：</w:t>
      </w:r>
      <w:r>
        <w:rPr>
          <w:rFonts w:hint="eastAsia" w:ascii="宋体" w:hAnsi="宋体" w:eastAsia="宋体" w:cs="微软雅黑"/>
          <w:b w:val="0"/>
          <w:bCs w:val="0"/>
          <w:sz w:val="21"/>
          <w:szCs w:val="21"/>
          <w:u w:val="single"/>
          <w:lang w:val="en-US" w:eastAsia="zh-CN"/>
        </w:rPr>
        <w:t xml:space="preserve">                     </w:t>
      </w:r>
    </w:p>
    <w:p>
      <w:pPr>
        <w:spacing w:line="360" w:lineRule="auto"/>
        <w:ind w:firstLine="420" w:firstLineChars="0"/>
        <w:jc w:val="left"/>
        <w:rPr>
          <w:rFonts w:hint="eastAsia"/>
        </w:rPr>
      </w:pPr>
      <w:r>
        <w:rPr>
          <w:rFonts w:hint="eastAsia" w:ascii="宋体" w:hAnsi="宋体"/>
          <w:szCs w:val="21"/>
        </w:rPr>
        <w:t>账    号：</w:t>
      </w:r>
      <w:r>
        <w:rPr>
          <w:rFonts w:hint="eastAsia" w:ascii="宋体" w:hAnsi="宋体" w:eastAsia="宋体"/>
          <w:b w:val="0"/>
          <w:bCs w:val="0"/>
          <w:sz w:val="21"/>
          <w:szCs w:val="21"/>
          <w:u w:val="single"/>
          <w:lang w:val="en-US" w:eastAsia="zh-CN"/>
        </w:rPr>
        <w:t xml:space="preserve">               </w:t>
      </w:r>
      <w:r>
        <w:rPr>
          <w:rFonts w:hint="eastAsia" w:ascii="宋体" w:hAnsi="宋体"/>
          <w:szCs w:val="21"/>
          <w:u w:val="single"/>
        </w:rPr>
        <w:t xml:space="preserve">      </w:t>
      </w:r>
      <w:r>
        <w:t xml:space="preserve"> </w:t>
      </w:r>
    </w:p>
    <w:p>
      <w:pPr>
        <w:pStyle w:val="16"/>
        <w:numPr>
          <w:ilvl w:val="0"/>
          <w:numId w:val="4"/>
        </w:numPr>
        <w:tabs>
          <w:tab w:val="left" w:pos="993"/>
        </w:tabs>
        <w:adjustRightInd w:val="0"/>
        <w:snapToGrid w:val="0"/>
        <w:spacing w:before="156" w:beforeLines="50"/>
        <w:ind w:firstLineChars="0"/>
        <w:jc w:val="left"/>
        <w:rPr>
          <w:rFonts w:hAnsi="宋体"/>
          <w:b/>
          <w:szCs w:val="21"/>
        </w:rPr>
      </w:pPr>
      <w:r>
        <w:rPr>
          <w:rFonts w:hint="eastAsia" w:hAnsi="宋体"/>
          <w:b/>
          <w:szCs w:val="21"/>
        </w:rPr>
        <w:t>双方权利和义务</w:t>
      </w:r>
    </w:p>
    <w:p>
      <w:pPr>
        <w:adjustRightInd w:val="0"/>
        <w:snapToGrid w:val="0"/>
        <w:spacing w:before="156" w:beforeLines="50"/>
        <w:rPr>
          <w:szCs w:val="21"/>
        </w:rPr>
      </w:pPr>
      <w:r>
        <w:rPr>
          <w:rFonts w:hint="eastAsia" w:hAnsi="宋体"/>
          <w:szCs w:val="21"/>
        </w:rPr>
        <w:t>（一）甲方</w:t>
      </w:r>
    </w:p>
    <w:p>
      <w:pPr>
        <w:numPr>
          <w:ilvl w:val="0"/>
          <w:numId w:val="11"/>
        </w:numPr>
        <w:adjustRightInd w:val="0"/>
        <w:snapToGrid w:val="0"/>
        <w:spacing w:before="156" w:beforeLines="50"/>
        <w:rPr>
          <w:szCs w:val="21"/>
        </w:rPr>
      </w:pPr>
      <w:r>
        <w:rPr>
          <w:rFonts w:hint="eastAsia" w:hAnsi="宋体"/>
          <w:szCs w:val="21"/>
        </w:rPr>
        <w:t>甲方权利</w:t>
      </w:r>
    </w:p>
    <w:p>
      <w:pPr>
        <w:numPr>
          <w:ilvl w:val="1"/>
          <w:numId w:val="12"/>
        </w:numPr>
        <w:adjustRightInd w:val="0"/>
        <w:snapToGrid w:val="0"/>
        <w:spacing w:before="156" w:beforeLines="50"/>
        <w:ind w:left="1276" w:hanging="482"/>
        <w:rPr>
          <w:rFonts w:hint="eastAsia"/>
          <w:szCs w:val="21"/>
        </w:rPr>
      </w:pPr>
      <w:r>
        <w:rPr>
          <w:rFonts w:hint="eastAsia" w:hAnsi="宋体"/>
          <w:szCs w:val="21"/>
        </w:rPr>
        <w:t>甲方有权及时了解乙方的工作进展情况，</w:t>
      </w:r>
      <w:r>
        <w:rPr>
          <w:rFonts w:hint="eastAsia" w:hAnsi="宋体"/>
          <w:szCs w:val="21"/>
          <w:lang w:val="en-US"/>
        </w:rPr>
        <w:t>在方案过程</w:t>
      </w:r>
      <w:r>
        <w:rPr>
          <w:rFonts w:hint="eastAsia"/>
          <w:szCs w:val="21"/>
        </w:rPr>
        <w:t>要求乙方定期汇报，并</w:t>
      </w:r>
      <w:r>
        <w:rPr>
          <w:rFonts w:hint="eastAsia" w:hAnsi="宋体"/>
          <w:szCs w:val="21"/>
        </w:rPr>
        <w:t>提出不违反法律、法规的建议和要求。</w:t>
      </w:r>
    </w:p>
    <w:p>
      <w:pPr>
        <w:numPr>
          <w:ilvl w:val="1"/>
          <w:numId w:val="12"/>
        </w:numPr>
        <w:adjustRightInd w:val="0"/>
        <w:snapToGrid w:val="0"/>
        <w:spacing w:before="156" w:beforeLines="50"/>
        <w:ind w:left="1276" w:hanging="482"/>
        <w:rPr>
          <w:rFonts w:hint="eastAsia"/>
          <w:kern w:val="0"/>
          <w:sz w:val="20"/>
          <w:szCs w:val="20"/>
        </w:rPr>
      </w:pPr>
      <w:r>
        <w:rPr>
          <w:rFonts w:hint="eastAsia" w:hAnsi="宋体"/>
          <w:szCs w:val="21"/>
        </w:rPr>
        <w:t>甲方有权</w:t>
      </w:r>
      <w:r>
        <w:rPr>
          <w:rFonts w:hint="eastAsia"/>
          <w:szCs w:val="21"/>
        </w:rPr>
        <w:t>对乙方所提交的报告作出说明和解释，</w:t>
      </w:r>
      <w:r>
        <w:rPr>
          <w:rFonts w:hint="eastAsia" w:hAnsi="宋体"/>
          <w:szCs w:val="21"/>
        </w:rPr>
        <w:t>对</w:t>
      </w:r>
      <w:r>
        <w:rPr>
          <w:rFonts w:hint="eastAsia"/>
          <w:lang w:val="en-US"/>
        </w:rPr>
        <w:t>乙方</w:t>
      </w:r>
      <w:r>
        <w:rPr>
          <w:rFonts w:hint="eastAsia" w:hAnsi="宋体"/>
          <w:szCs w:val="21"/>
        </w:rPr>
        <w:t>编制的报告进行审查验收并提出修改意见。</w:t>
      </w:r>
    </w:p>
    <w:p>
      <w:pPr>
        <w:numPr>
          <w:ilvl w:val="1"/>
          <w:numId w:val="12"/>
        </w:numPr>
        <w:adjustRightInd w:val="0"/>
        <w:snapToGrid w:val="0"/>
        <w:spacing w:before="156" w:beforeLines="50"/>
        <w:ind w:left="1276" w:hanging="482"/>
      </w:pPr>
      <w:r>
        <w:rPr>
          <w:rFonts w:hint="eastAsia" w:hAnsi="宋体"/>
          <w:szCs w:val="21"/>
        </w:rPr>
        <w:t>甲方应在</w:t>
      </w:r>
      <w:r>
        <w:rPr>
          <w:rFonts w:hint="eastAsia"/>
          <w:lang w:val="en-US"/>
        </w:rPr>
        <w:t>乙方</w:t>
      </w:r>
      <w:r>
        <w:rPr>
          <w:rFonts w:hint="eastAsia" w:hAnsi="宋体"/>
          <w:szCs w:val="21"/>
        </w:rPr>
        <w:t>提交前期策划报告后</w:t>
      </w:r>
      <w:r>
        <w:rPr>
          <w:rFonts w:hint="eastAsia" w:hAnsi="宋体"/>
          <w:szCs w:val="21"/>
          <w:lang w:val="en-US" w:eastAsia="zh-CN"/>
        </w:rPr>
        <w:t>10</w:t>
      </w:r>
      <w:r>
        <w:rPr>
          <w:rFonts w:hint="eastAsia" w:hAnsi="宋体"/>
          <w:szCs w:val="21"/>
        </w:rPr>
        <w:t>个</w:t>
      </w:r>
      <w:r>
        <w:rPr>
          <w:rFonts w:hint="eastAsia"/>
          <w:szCs w:val="21"/>
        </w:rPr>
        <w:t>工作日内</w:t>
      </w:r>
      <w:r>
        <w:rPr>
          <w:rFonts w:hint="eastAsia" w:hAnsi="宋体"/>
          <w:szCs w:val="21"/>
        </w:rPr>
        <w:t>审核确认并反馈意见，</w:t>
      </w:r>
      <w:r>
        <w:rPr>
          <w:rFonts w:hint="eastAsia"/>
        </w:rPr>
        <w:t>逾期视为无意见或已确认乙方工作成果。</w:t>
      </w:r>
    </w:p>
    <w:p>
      <w:pPr>
        <w:numPr>
          <w:ilvl w:val="0"/>
          <w:numId w:val="11"/>
        </w:numPr>
        <w:adjustRightInd w:val="0"/>
        <w:snapToGrid w:val="0"/>
        <w:spacing w:before="156" w:beforeLines="50"/>
        <w:rPr>
          <w:rFonts w:hAnsi="宋体"/>
          <w:szCs w:val="21"/>
        </w:rPr>
      </w:pPr>
      <w:r>
        <w:rPr>
          <w:rFonts w:hint="eastAsia" w:hAnsi="宋体"/>
          <w:szCs w:val="21"/>
        </w:rPr>
        <w:t>甲方义务</w:t>
      </w:r>
    </w:p>
    <w:p>
      <w:pPr>
        <w:numPr>
          <w:ilvl w:val="1"/>
          <w:numId w:val="13"/>
        </w:numPr>
        <w:tabs>
          <w:tab w:val="left" w:pos="1276"/>
        </w:tabs>
        <w:adjustRightInd w:val="0"/>
        <w:snapToGrid w:val="0"/>
        <w:spacing w:before="156" w:beforeLines="50"/>
        <w:ind w:left="1276" w:hanging="482"/>
        <w:rPr>
          <w:rFonts w:hint="eastAsia"/>
          <w:szCs w:val="21"/>
        </w:rPr>
      </w:pPr>
      <w:r>
        <w:rPr>
          <w:rFonts w:hint="eastAsia"/>
          <w:szCs w:val="21"/>
        </w:rPr>
        <w:t>甲方应在本合同生效之日起5个工作日内，向乙方提供顾问服务所需的相关资料及文件，如背景资料、建筑图纸和规划数据等，需要特别说明的事项须向乙方详细交底，并对提供资料的真实性、完整性、准确性、合法性负责。</w:t>
      </w:r>
    </w:p>
    <w:p>
      <w:pPr>
        <w:numPr>
          <w:ilvl w:val="1"/>
          <w:numId w:val="13"/>
        </w:numPr>
        <w:tabs>
          <w:tab w:val="left" w:pos="1276"/>
        </w:tabs>
        <w:adjustRightInd w:val="0"/>
        <w:snapToGrid w:val="0"/>
        <w:spacing w:before="156" w:beforeLines="50"/>
        <w:rPr>
          <w:szCs w:val="21"/>
        </w:rPr>
      </w:pPr>
      <w:r>
        <w:rPr>
          <w:rFonts w:hint="eastAsia"/>
          <w:szCs w:val="21"/>
        </w:rPr>
        <w:t>甲方应按时向乙方支付服务费用。</w:t>
      </w:r>
    </w:p>
    <w:p>
      <w:pPr>
        <w:numPr>
          <w:ilvl w:val="1"/>
          <w:numId w:val="13"/>
        </w:numPr>
        <w:tabs>
          <w:tab w:val="left" w:pos="1276"/>
        </w:tabs>
        <w:adjustRightInd w:val="0"/>
        <w:snapToGrid w:val="0"/>
        <w:spacing w:before="156" w:beforeLines="50"/>
        <w:ind w:left="1276" w:hanging="482"/>
        <w:rPr>
          <w:rFonts w:hint="eastAsia"/>
          <w:szCs w:val="21"/>
        </w:rPr>
      </w:pPr>
      <w:r>
        <w:rPr>
          <w:rFonts w:hint="eastAsia"/>
          <w:szCs w:val="21"/>
        </w:rPr>
        <w:t>甲方应密切配合，为乙方的</w:t>
      </w:r>
      <w:r>
        <w:rPr>
          <w:rFonts w:hint="eastAsia"/>
          <w:szCs w:val="21"/>
          <w:lang w:val="en-US"/>
        </w:rPr>
        <w:t>工作</w:t>
      </w:r>
      <w:r>
        <w:rPr>
          <w:rFonts w:hint="eastAsia"/>
          <w:szCs w:val="21"/>
        </w:rPr>
        <w:t>提供协助，包括协调乙方与本项目有关部门、协作单位及有关人员的关系等。</w:t>
      </w:r>
      <w:r>
        <w:rPr>
          <w:rFonts w:hint="eastAsia"/>
        </w:rPr>
        <w:t xml:space="preserve"> </w:t>
      </w:r>
    </w:p>
    <w:p>
      <w:pPr>
        <w:adjustRightInd w:val="0"/>
        <w:snapToGrid w:val="0"/>
        <w:spacing w:before="156" w:beforeLines="50"/>
        <w:rPr>
          <w:szCs w:val="21"/>
        </w:rPr>
      </w:pPr>
      <w:r>
        <w:rPr>
          <w:rFonts w:hint="eastAsia" w:hAnsi="宋体"/>
          <w:szCs w:val="21"/>
        </w:rPr>
        <w:t>（二） 乙方</w:t>
      </w:r>
    </w:p>
    <w:p>
      <w:pPr>
        <w:numPr>
          <w:ilvl w:val="0"/>
          <w:numId w:val="14"/>
        </w:numPr>
        <w:adjustRightInd w:val="0"/>
        <w:snapToGrid w:val="0"/>
        <w:spacing w:before="156" w:beforeLines="50"/>
        <w:rPr>
          <w:szCs w:val="21"/>
        </w:rPr>
      </w:pPr>
      <w:r>
        <w:rPr>
          <w:rFonts w:hint="eastAsia" w:hAnsi="宋体"/>
          <w:szCs w:val="21"/>
        </w:rPr>
        <w:t>乙方权利</w:t>
      </w:r>
    </w:p>
    <w:p>
      <w:pPr>
        <w:numPr>
          <w:ilvl w:val="1"/>
          <w:numId w:val="15"/>
        </w:numPr>
        <w:adjustRightInd w:val="0"/>
        <w:snapToGrid w:val="0"/>
        <w:spacing w:before="156" w:beforeLines="50"/>
        <w:rPr>
          <w:rFonts w:hint="eastAsia" w:hAnsi="宋体"/>
          <w:szCs w:val="21"/>
        </w:rPr>
      </w:pPr>
      <w:r>
        <w:rPr>
          <w:rFonts w:hint="eastAsia" w:hAnsi="宋体"/>
          <w:szCs w:val="21"/>
        </w:rPr>
        <w:t>乙方有权按本合同约定收取服务费。</w:t>
      </w:r>
    </w:p>
    <w:p>
      <w:pPr>
        <w:numPr>
          <w:ilvl w:val="1"/>
          <w:numId w:val="15"/>
        </w:numPr>
        <w:adjustRightInd w:val="0"/>
        <w:snapToGrid w:val="0"/>
        <w:spacing w:before="156" w:beforeLines="50"/>
        <w:ind w:left="1276" w:hanging="482"/>
        <w:rPr>
          <w:rFonts w:hAnsi="宋体"/>
          <w:szCs w:val="21"/>
        </w:rPr>
      </w:pPr>
      <w:r>
        <w:rPr>
          <w:rFonts w:hint="eastAsia" w:hAnsi="宋体"/>
          <w:szCs w:val="21"/>
        </w:rPr>
        <w:t>乙方有权在甲方提供的资料不足或不明确时，要求甲方补足资料、予以说明或解释，但乙方提交工作成果的期限不可相应顺延，因关键性资料缺乏而使乙方工作无法进展情况除外。</w:t>
      </w:r>
    </w:p>
    <w:p>
      <w:pPr>
        <w:numPr>
          <w:ilvl w:val="1"/>
          <w:numId w:val="15"/>
        </w:numPr>
        <w:adjustRightInd w:val="0"/>
        <w:snapToGrid w:val="0"/>
        <w:spacing w:before="156" w:beforeLines="50"/>
        <w:ind w:left="1276" w:hanging="482"/>
        <w:rPr>
          <w:rFonts w:hAnsi="宋体"/>
          <w:szCs w:val="21"/>
        </w:rPr>
      </w:pPr>
      <w:r>
        <w:rPr>
          <w:rFonts w:hint="eastAsia"/>
          <w:szCs w:val="21"/>
        </w:rPr>
        <w:t>乙方有权将本项目列入其客户名册中，在其公司网站和宣传资料上发布有关本项目之物业信息和楼盘图片，以便于对外宣传本项目，而毋需就此另获许可或承担任何费用。</w:t>
      </w:r>
    </w:p>
    <w:p>
      <w:pPr>
        <w:numPr>
          <w:ilvl w:val="0"/>
          <w:numId w:val="14"/>
        </w:numPr>
        <w:adjustRightInd w:val="0"/>
        <w:snapToGrid w:val="0"/>
        <w:spacing w:before="156" w:beforeLines="50"/>
        <w:ind w:left="1276" w:hanging="482"/>
        <w:rPr>
          <w:rFonts w:hint="eastAsia"/>
          <w:szCs w:val="21"/>
        </w:rPr>
      </w:pPr>
      <w:r>
        <w:rPr>
          <w:rFonts w:hint="eastAsia" w:hAnsi="宋体"/>
          <w:szCs w:val="21"/>
        </w:rPr>
        <w:t>乙方义务</w:t>
      </w:r>
    </w:p>
    <w:p>
      <w:pPr>
        <w:numPr>
          <w:ilvl w:val="1"/>
          <w:numId w:val="16"/>
        </w:numPr>
        <w:adjustRightInd w:val="0"/>
        <w:snapToGrid w:val="0"/>
        <w:spacing w:before="156" w:beforeLines="50"/>
        <w:ind w:left="1276" w:hanging="482"/>
        <w:rPr>
          <w:szCs w:val="21"/>
        </w:rPr>
      </w:pPr>
      <w:r>
        <w:rPr>
          <w:rFonts w:hint="eastAsia" w:hAnsi="宋体"/>
          <w:szCs w:val="21"/>
        </w:rPr>
        <w:t>乙方</w:t>
      </w:r>
      <w:r>
        <w:rPr>
          <w:rFonts w:hint="eastAsia" w:hAnsi="宋体"/>
          <w:szCs w:val="21"/>
          <w:lang w:val="en-US"/>
        </w:rPr>
        <w:t>所</w:t>
      </w:r>
      <w:r>
        <w:rPr>
          <w:rFonts w:hint="eastAsia" w:hAnsi="宋体"/>
          <w:szCs w:val="21"/>
        </w:rPr>
        <w:t>提供的调查资料、基本数据应准确、客观、真实，避免发生侵犯他人知识产权、捏造或揣测的行为。由于乙方提供的内容文件等资料导致的一切版权纠纷及法律问题，由乙方自负，甲方不承担任何法律或连带责任。</w:t>
      </w:r>
    </w:p>
    <w:p>
      <w:pPr>
        <w:numPr>
          <w:ilvl w:val="1"/>
          <w:numId w:val="16"/>
        </w:numPr>
        <w:adjustRightInd w:val="0"/>
        <w:snapToGrid w:val="0"/>
        <w:spacing w:before="156" w:beforeLines="50"/>
        <w:ind w:left="1276" w:hanging="482"/>
        <w:rPr>
          <w:rFonts w:hint="eastAsia"/>
          <w:szCs w:val="21"/>
        </w:rPr>
      </w:pPr>
      <w:r>
        <w:rPr>
          <w:rFonts w:hint="eastAsia"/>
          <w:szCs w:val="21"/>
        </w:rPr>
        <w:t>乙方应及时向甲方汇报项目的进展情况，根据甲方的修改意见，按合同约定和客观实际情况，</w:t>
      </w:r>
      <w:r>
        <w:rPr>
          <w:rFonts w:hint="eastAsia" w:hAnsi="宋体"/>
          <w:szCs w:val="21"/>
          <w:lang w:val="en-US"/>
        </w:rPr>
        <w:t>对</w:t>
      </w:r>
      <w:r>
        <w:rPr>
          <w:rFonts w:hint="eastAsia"/>
          <w:szCs w:val="21"/>
        </w:rPr>
        <w:t>报告进行修改。</w:t>
      </w:r>
    </w:p>
    <w:p>
      <w:pPr>
        <w:numPr>
          <w:ilvl w:val="1"/>
          <w:numId w:val="16"/>
        </w:numPr>
        <w:adjustRightInd w:val="0"/>
        <w:snapToGrid w:val="0"/>
        <w:spacing w:before="156" w:beforeLines="50"/>
        <w:ind w:left="1276" w:hanging="482"/>
        <w:rPr>
          <w:rFonts w:hint="eastAsia"/>
          <w:szCs w:val="21"/>
        </w:rPr>
      </w:pPr>
      <w:r>
        <w:rPr>
          <w:rFonts w:hint="eastAsia" w:hAnsi="宋体"/>
          <w:szCs w:val="21"/>
        </w:rPr>
        <w:t>乙方应对本项目工作成果和相关文件、资料的内容负保密义务，非经甲方书面同意或</w:t>
      </w:r>
      <w:r>
        <w:rPr>
          <w:rFonts w:hint="eastAsia"/>
          <w:szCs w:val="21"/>
        </w:rPr>
        <w:t>有来自司法或政府行政部门的要求，</w:t>
      </w:r>
      <w:r>
        <w:rPr>
          <w:rFonts w:hint="eastAsia" w:hAnsi="宋体"/>
          <w:szCs w:val="21"/>
        </w:rPr>
        <w:t>不得向第三方透露。</w:t>
      </w:r>
    </w:p>
    <w:p>
      <w:pPr>
        <w:numPr>
          <w:ilvl w:val="0"/>
          <w:numId w:val="4"/>
        </w:numPr>
        <w:adjustRightInd w:val="0"/>
        <w:snapToGrid w:val="0"/>
        <w:spacing w:before="156" w:beforeLines="50"/>
        <w:rPr>
          <w:rFonts w:hint="eastAsia"/>
          <w:b/>
          <w:szCs w:val="21"/>
        </w:rPr>
      </w:pPr>
      <w:r>
        <w:rPr>
          <w:rFonts w:hint="eastAsia"/>
          <w:b/>
          <w:szCs w:val="21"/>
        </w:rPr>
        <w:t>合同变更</w:t>
      </w:r>
    </w:p>
    <w:p>
      <w:pPr>
        <w:numPr>
          <w:ilvl w:val="0"/>
          <w:numId w:val="17"/>
        </w:numPr>
        <w:adjustRightInd w:val="0"/>
        <w:snapToGrid w:val="0"/>
        <w:spacing w:before="156" w:beforeLines="50"/>
        <w:rPr>
          <w:rFonts w:hint="eastAsia" w:hAnsi="宋体"/>
          <w:szCs w:val="21"/>
        </w:rPr>
      </w:pPr>
      <w:r>
        <w:rPr>
          <w:rFonts w:hint="eastAsia" w:hAnsi="宋体"/>
          <w:szCs w:val="21"/>
        </w:rPr>
        <w:t>若甲方对本项目提出重大变更，或原始资料、数据有重大变动导致需对本项目报告作重大修改甚至返工时，甲乙双方应对变更工作期限及增加服务费事宜另行约定。</w:t>
      </w:r>
    </w:p>
    <w:p>
      <w:pPr>
        <w:numPr>
          <w:ilvl w:val="0"/>
          <w:numId w:val="17"/>
        </w:numPr>
        <w:adjustRightInd w:val="0"/>
        <w:snapToGrid w:val="0"/>
        <w:spacing w:before="156" w:beforeLines="50"/>
        <w:rPr>
          <w:rFonts w:hint="eastAsia" w:hAnsi="宋体"/>
          <w:szCs w:val="21"/>
        </w:rPr>
      </w:pPr>
      <w:r>
        <w:rPr>
          <w:rFonts w:hint="eastAsia" w:hAnsi="宋体"/>
          <w:szCs w:val="21"/>
        </w:rPr>
        <w:t>合同中如有未尽事宜，由双方共同协商，如作出修改或补充规定应签订书面补充合同，补充合同条款若与本合同有关条款发生抵触的，以补充合同为准。</w:t>
      </w:r>
    </w:p>
    <w:p>
      <w:pPr>
        <w:numPr>
          <w:ilvl w:val="0"/>
          <w:numId w:val="4"/>
        </w:numPr>
        <w:adjustRightInd w:val="0"/>
        <w:snapToGrid w:val="0"/>
        <w:spacing w:before="156" w:beforeLines="50"/>
        <w:rPr>
          <w:b/>
          <w:szCs w:val="21"/>
        </w:rPr>
      </w:pPr>
      <w:r>
        <w:rPr>
          <w:rFonts w:hint="eastAsia" w:hAnsi="宋体"/>
          <w:b/>
          <w:szCs w:val="21"/>
        </w:rPr>
        <w:t>违约责任</w:t>
      </w:r>
    </w:p>
    <w:p>
      <w:pPr>
        <w:numPr>
          <w:ilvl w:val="0"/>
          <w:numId w:val="18"/>
        </w:numPr>
        <w:adjustRightInd w:val="0"/>
        <w:snapToGrid w:val="0"/>
        <w:spacing w:before="156" w:beforeLines="50"/>
        <w:rPr>
          <w:rFonts w:hint="eastAsia" w:hAnsi="宋体"/>
          <w:szCs w:val="21"/>
        </w:rPr>
      </w:pPr>
      <w:r>
        <w:rPr>
          <w:rFonts w:hint="eastAsia" w:hAnsi="宋体"/>
          <w:szCs w:val="21"/>
        </w:rPr>
        <w:t>因法定不可抗力因素导致本合同无法履行，不视为违约，由甲乙双方各自承担损失。</w:t>
      </w:r>
    </w:p>
    <w:p>
      <w:pPr>
        <w:widowControl/>
        <w:numPr>
          <w:ilvl w:val="0"/>
          <w:numId w:val="18"/>
        </w:numPr>
        <w:jc w:val="left"/>
        <w:rPr>
          <w:szCs w:val="21"/>
        </w:rPr>
      </w:pPr>
      <w:r>
        <w:rPr>
          <w:rFonts w:hint="eastAsia"/>
          <w:szCs w:val="21"/>
        </w:rPr>
        <w:t>若甲方未在约定时间内支付服务费用给乙方，则甲方承担违约责任，甲方向乙方支付逾期违约金。违约金按日计算，每延误一天，甲方按合同总金额的万分之四支付给乙方。</w:t>
      </w:r>
    </w:p>
    <w:p>
      <w:pPr>
        <w:widowControl/>
        <w:numPr>
          <w:ilvl w:val="0"/>
          <w:numId w:val="18"/>
        </w:numPr>
        <w:jc w:val="left"/>
        <w:rPr>
          <w:rFonts w:hint="eastAsia"/>
          <w:szCs w:val="21"/>
        </w:rPr>
      </w:pPr>
      <w:r>
        <w:rPr>
          <w:rFonts w:hint="eastAsia"/>
          <w:szCs w:val="21"/>
        </w:rPr>
        <w:t>若乙方未在约定时间内向甲方提交前期策划报告，则乙方承担违约责任，乙方向甲方支付逾期违约金。违约金按日计算，每延误一天，乙方按合同总金额的万分之四支付给甲方。</w:t>
      </w:r>
    </w:p>
    <w:p>
      <w:pPr>
        <w:widowControl/>
        <w:numPr>
          <w:ilvl w:val="0"/>
          <w:numId w:val="18"/>
        </w:numPr>
        <w:jc w:val="left"/>
        <w:rPr>
          <w:rFonts w:hint="eastAsia"/>
          <w:szCs w:val="21"/>
        </w:rPr>
      </w:pPr>
      <w:r>
        <w:rPr>
          <w:rFonts w:hint="eastAsia" w:ascii="宋体" w:hAnsi="宋体"/>
          <w:szCs w:val="21"/>
        </w:rPr>
        <w:t>乙方保证其对本合同的履行不存在对第三方的侵权，因乙方原因产生的侵权纠纷由乙方负责解决，如因此导致甲方产生费用支出的（包括因此支出的赔偿、诉讼费、财产保全费、调查取证费用、律师费、公证费、处理纠纷事宜产生的交通费用等），乙方全额向甲方作出补偿。</w:t>
      </w:r>
    </w:p>
    <w:p>
      <w:pPr>
        <w:numPr>
          <w:ilvl w:val="0"/>
          <w:numId w:val="4"/>
        </w:numPr>
        <w:adjustRightInd w:val="0"/>
        <w:snapToGrid w:val="0"/>
        <w:spacing w:before="156" w:beforeLines="50"/>
        <w:rPr>
          <w:rFonts w:hint="eastAsia"/>
          <w:kern w:val="0"/>
          <w:sz w:val="20"/>
          <w:szCs w:val="20"/>
        </w:rPr>
      </w:pPr>
      <w:r>
        <w:rPr>
          <w:rFonts w:hint="eastAsia" w:hAnsi="宋体"/>
          <w:b/>
          <w:szCs w:val="21"/>
        </w:rPr>
        <w:t>合同解除</w:t>
      </w:r>
    </w:p>
    <w:p>
      <w:pPr>
        <w:numPr>
          <w:ilvl w:val="0"/>
          <w:numId w:val="19"/>
        </w:numPr>
        <w:adjustRightInd w:val="0"/>
        <w:snapToGrid w:val="0"/>
        <w:spacing w:before="156" w:beforeLines="50"/>
        <w:rPr>
          <w:rFonts w:hint="eastAsia"/>
          <w:szCs w:val="21"/>
        </w:rPr>
      </w:pPr>
      <w:r>
        <w:rPr>
          <w:rFonts w:hint="eastAsia"/>
          <w:szCs w:val="21"/>
        </w:rPr>
        <w:t>有下列情形之一的，合同相对方有权解除合同：</w:t>
      </w:r>
    </w:p>
    <w:p>
      <w:pPr>
        <w:numPr>
          <w:ilvl w:val="1"/>
          <w:numId w:val="20"/>
        </w:numPr>
        <w:adjustRightInd w:val="0"/>
        <w:snapToGrid w:val="0"/>
        <w:spacing w:before="156" w:beforeLines="50"/>
        <w:rPr>
          <w:rFonts w:hint="eastAsia"/>
          <w:szCs w:val="21"/>
        </w:rPr>
      </w:pPr>
      <w:r>
        <w:rPr>
          <w:rFonts w:hint="eastAsia"/>
          <w:szCs w:val="21"/>
        </w:rPr>
        <w:t>因一方严重违约致使合同无法履行。</w:t>
      </w:r>
    </w:p>
    <w:p>
      <w:pPr>
        <w:numPr>
          <w:ilvl w:val="1"/>
          <w:numId w:val="20"/>
        </w:numPr>
        <w:adjustRightInd w:val="0"/>
        <w:snapToGrid w:val="0"/>
        <w:spacing w:before="156" w:beforeLines="50"/>
        <w:rPr>
          <w:rFonts w:hint="eastAsia"/>
          <w:szCs w:val="21"/>
        </w:rPr>
      </w:pPr>
      <w:r>
        <w:rPr>
          <w:rFonts w:hint="eastAsia"/>
          <w:szCs w:val="21"/>
        </w:rPr>
        <w:t>因一方违约致使合同目的无法实现。</w:t>
      </w:r>
    </w:p>
    <w:p>
      <w:pPr>
        <w:numPr>
          <w:ilvl w:val="1"/>
          <w:numId w:val="20"/>
        </w:numPr>
        <w:adjustRightInd w:val="0"/>
        <w:snapToGrid w:val="0"/>
        <w:spacing w:before="156" w:beforeLines="50"/>
        <w:rPr>
          <w:rFonts w:hint="eastAsia"/>
          <w:szCs w:val="21"/>
        </w:rPr>
      </w:pPr>
      <w:r>
        <w:rPr>
          <w:rFonts w:hint="eastAsia"/>
          <w:szCs w:val="21"/>
        </w:rPr>
        <w:t>因不可抗力致使合同无法履行，可以解除合同。</w:t>
      </w:r>
    </w:p>
    <w:p>
      <w:pPr>
        <w:numPr>
          <w:ilvl w:val="0"/>
          <w:numId w:val="19"/>
        </w:numPr>
        <w:adjustRightInd w:val="0"/>
        <w:snapToGrid w:val="0"/>
        <w:spacing w:before="156" w:beforeLines="50"/>
        <w:rPr>
          <w:rFonts w:hint="eastAsia"/>
          <w:szCs w:val="21"/>
        </w:rPr>
      </w:pPr>
      <w:r>
        <w:rPr>
          <w:rFonts w:hint="eastAsia" w:hAnsi="宋体"/>
          <w:szCs w:val="21"/>
        </w:rPr>
        <w:t>一方按上述情形提出解除合同的，应提前5日书面通知对方。</w:t>
      </w:r>
    </w:p>
    <w:p>
      <w:pPr>
        <w:numPr>
          <w:ilvl w:val="0"/>
          <w:numId w:val="4"/>
        </w:numPr>
        <w:adjustRightInd w:val="0"/>
        <w:snapToGrid w:val="0"/>
        <w:spacing w:before="156" w:beforeLines="50"/>
        <w:rPr>
          <w:rFonts w:hint="eastAsia"/>
          <w:kern w:val="0"/>
          <w:sz w:val="20"/>
          <w:szCs w:val="20"/>
        </w:rPr>
      </w:pPr>
      <w:r>
        <w:rPr>
          <w:rFonts w:hint="eastAsia"/>
          <w:b/>
          <w:szCs w:val="21"/>
        </w:rPr>
        <w:t>保密条款</w:t>
      </w:r>
    </w:p>
    <w:p>
      <w:pPr>
        <w:widowControl/>
        <w:numPr>
          <w:ilvl w:val="0"/>
          <w:numId w:val="21"/>
        </w:numPr>
        <w:ind w:left="851" w:hanging="425"/>
        <w:jc w:val="left"/>
        <w:rPr>
          <w:rFonts w:hint="eastAsia"/>
          <w:kern w:val="0"/>
          <w:szCs w:val="21"/>
        </w:rPr>
      </w:pPr>
      <w:r>
        <w:rPr>
          <w:rFonts w:hint="eastAsia"/>
        </w:rPr>
        <w:t>本合同中所指的保密信息是指属于任何一方及其关联企业所有的，并被该方视为秘密的技术、财务、商业或任何其它方面的信息；其不为公众所知悉，能带来经济效益，具有实用性并被采取了保护措施，且仅为执行本合同之目的而使用，应</w:t>
      </w:r>
      <w:r>
        <w:rPr>
          <w:rFonts w:hint="eastAsia"/>
          <w:szCs w:val="21"/>
        </w:rPr>
        <w:t>予保密，不得披露。但已经被公众知悉的信息或者经公权力机关依职权需要调阅的信息，不在此列。</w:t>
      </w:r>
    </w:p>
    <w:p>
      <w:pPr>
        <w:widowControl/>
        <w:numPr>
          <w:ilvl w:val="0"/>
          <w:numId w:val="21"/>
        </w:numPr>
        <w:ind w:left="851" w:hanging="425"/>
        <w:jc w:val="left"/>
        <w:rPr>
          <w:rFonts w:hint="eastAsia"/>
          <w:kern w:val="0"/>
          <w:szCs w:val="21"/>
        </w:rPr>
      </w:pPr>
      <w:r>
        <w:rPr>
          <w:rFonts w:hint="eastAsia"/>
          <w:szCs w:val="21"/>
        </w:rPr>
        <w:t>双方及双方的相关人员对合作内容及本合同的具体内容负有保密责任。相关人员包括但不限于合同方及其关联企业的董事、监事、高级管理人员、雇员、咨询者、代理人、顾问。</w:t>
      </w:r>
    </w:p>
    <w:p>
      <w:pPr>
        <w:widowControl/>
        <w:numPr>
          <w:ilvl w:val="0"/>
          <w:numId w:val="21"/>
        </w:numPr>
        <w:ind w:left="851" w:hanging="425"/>
        <w:jc w:val="left"/>
        <w:rPr>
          <w:rFonts w:hint="eastAsia"/>
          <w:kern w:val="0"/>
          <w:szCs w:val="21"/>
        </w:rPr>
      </w:pPr>
      <w:r>
        <w:rPr>
          <w:rFonts w:hint="eastAsia"/>
          <w:szCs w:val="21"/>
        </w:rPr>
        <w:t>保密义务的期限为合同履行的整个期间及合同终止后的三年内；本合同如有任何部分被视为无效或不可执行，均不影响保密条款的有效性。</w:t>
      </w:r>
    </w:p>
    <w:p>
      <w:pPr>
        <w:widowControl/>
        <w:numPr>
          <w:ilvl w:val="0"/>
          <w:numId w:val="21"/>
        </w:numPr>
        <w:ind w:left="851" w:hanging="425"/>
        <w:jc w:val="left"/>
        <w:rPr>
          <w:rFonts w:hint="eastAsia"/>
          <w:szCs w:val="21"/>
        </w:rPr>
      </w:pPr>
      <w:r>
        <w:rPr>
          <w:rFonts w:hint="eastAsia"/>
          <w:szCs w:val="21"/>
        </w:rPr>
        <w:t>未经对方事先书面同意，本合同任何一方不得将双方的合作内容及本合同中涉及的商业秘密披露给第三方，否则给对方造成的损失应承担赔偿责任。</w:t>
      </w:r>
    </w:p>
    <w:p>
      <w:pPr>
        <w:numPr>
          <w:ilvl w:val="0"/>
          <w:numId w:val="4"/>
        </w:numPr>
        <w:adjustRightInd w:val="0"/>
        <w:snapToGrid w:val="0"/>
        <w:spacing w:before="156" w:beforeLines="50"/>
        <w:rPr>
          <w:rFonts w:hint="eastAsia"/>
          <w:kern w:val="0"/>
          <w:sz w:val="20"/>
          <w:szCs w:val="20"/>
        </w:rPr>
      </w:pPr>
      <w:r>
        <w:rPr>
          <w:rFonts w:hint="eastAsia"/>
          <w:b/>
          <w:szCs w:val="21"/>
        </w:rPr>
        <w:t>通知送达</w:t>
      </w:r>
    </w:p>
    <w:p>
      <w:pPr>
        <w:widowControl/>
        <w:numPr>
          <w:ilvl w:val="0"/>
          <w:numId w:val="22"/>
        </w:numPr>
        <w:ind w:left="851" w:hanging="425"/>
        <w:jc w:val="left"/>
        <w:rPr>
          <w:rFonts w:hint="eastAsia"/>
          <w:kern w:val="0"/>
          <w:sz w:val="20"/>
          <w:szCs w:val="20"/>
        </w:rPr>
      </w:pPr>
      <w:r>
        <w:rPr>
          <w:rFonts w:hint="eastAsia"/>
          <w:szCs w:val="21"/>
        </w:rPr>
        <w:t>甲乙双方指定联系人如下：</w:t>
      </w:r>
    </w:p>
    <w:p>
      <w:pPr>
        <w:widowControl/>
        <w:ind w:firstLine="525" w:firstLineChars="250"/>
        <w:jc w:val="left"/>
        <w:rPr>
          <w:rFonts w:hint="eastAsia"/>
          <w:szCs w:val="21"/>
        </w:rPr>
      </w:pPr>
      <w:r>
        <w:rPr>
          <w:rFonts w:hint="eastAsia"/>
          <w:szCs w:val="21"/>
        </w:rPr>
        <w:t>甲方联系人：</w:t>
      </w:r>
      <w:r>
        <w:rPr>
          <w:rFonts w:hint="eastAsia"/>
          <w:szCs w:val="21"/>
          <w:u w:val="single"/>
          <w:lang w:val="en-US" w:eastAsia="zh-CN"/>
        </w:rPr>
        <w:t xml:space="preserve">      </w:t>
      </w:r>
      <w:r>
        <w:rPr>
          <w:rFonts w:hint="eastAsia"/>
          <w:szCs w:val="21"/>
          <w:u w:val="none"/>
          <w:lang w:val="en-US" w:eastAsia="zh-CN"/>
        </w:rPr>
        <w:t xml:space="preserve">  </w:t>
      </w:r>
      <w:r>
        <w:rPr>
          <w:rFonts w:hint="eastAsia"/>
          <w:szCs w:val="21"/>
        </w:rPr>
        <w:t>手机号：</w:t>
      </w:r>
      <w:r>
        <w:rPr>
          <w:rFonts w:hint="eastAsia"/>
          <w:szCs w:val="21"/>
          <w:lang w:val="en-US" w:eastAsia="zh-CN"/>
        </w:rPr>
        <w:t xml:space="preserve">         </w:t>
      </w:r>
      <w:r>
        <w:rPr>
          <w:rFonts w:hint="eastAsia"/>
          <w:szCs w:val="21"/>
        </w:rPr>
        <w:t>电子邮箱：</w:t>
      </w:r>
      <w:r>
        <w:rPr>
          <w:rFonts w:hint="eastAsia"/>
          <w:szCs w:val="21"/>
          <w:lang w:val="en-US" w:eastAsia="zh-CN"/>
        </w:rPr>
        <w:t xml:space="preserve">    </w:t>
      </w:r>
      <w:r>
        <w:rPr>
          <w:rFonts w:hint="eastAsia"/>
          <w:szCs w:val="21"/>
          <w:lang w:val="en-US"/>
        </w:rPr>
        <w:t xml:space="preserve"> </w:t>
      </w:r>
    </w:p>
    <w:p>
      <w:pPr>
        <w:widowControl/>
        <w:jc w:val="left"/>
        <w:rPr>
          <w:rFonts w:hint="eastAsia"/>
          <w:szCs w:val="21"/>
        </w:rPr>
      </w:pPr>
      <w:r>
        <w:rPr>
          <w:rFonts w:hint="eastAsia"/>
          <w:szCs w:val="21"/>
          <w:lang w:val="en-US"/>
        </w:rPr>
        <w:t xml:space="preserve">  </w:t>
      </w:r>
      <w:r>
        <w:rPr>
          <w:rFonts w:hint="eastAsia"/>
          <w:szCs w:val="21"/>
          <w:lang w:val="en-US" w:eastAsia="zh-CN"/>
        </w:rPr>
        <w:tab/>
      </w:r>
      <w:r>
        <w:rPr>
          <w:rFonts w:hint="eastAsia"/>
          <w:szCs w:val="21"/>
          <w:lang w:val="en-US" w:eastAsia="zh-CN"/>
        </w:rPr>
        <w:t xml:space="preserve"> </w:t>
      </w:r>
      <w:r>
        <w:rPr>
          <w:rFonts w:hint="eastAsia"/>
          <w:szCs w:val="21"/>
        </w:rPr>
        <w:t>乙方联系人：</w:t>
      </w:r>
      <w:r>
        <w:rPr>
          <w:rFonts w:hint="eastAsia"/>
          <w:szCs w:val="21"/>
          <w:u w:val="single"/>
          <w:lang w:val="en-US" w:eastAsia="zh-CN"/>
        </w:rPr>
        <w:t xml:space="preserve">      </w:t>
      </w:r>
      <w:r>
        <w:rPr>
          <w:rFonts w:hint="eastAsia"/>
          <w:szCs w:val="21"/>
        </w:rPr>
        <w:t xml:space="preserve"> </w:t>
      </w:r>
      <w:r>
        <w:rPr>
          <w:szCs w:val="21"/>
        </w:rPr>
        <w:t xml:space="preserve"> </w:t>
      </w:r>
      <w:r>
        <w:rPr>
          <w:rFonts w:hint="eastAsia"/>
          <w:szCs w:val="21"/>
        </w:rPr>
        <w:t>手机号：</w:t>
      </w:r>
      <w:r>
        <w:rPr>
          <w:rFonts w:hint="eastAsia"/>
          <w:szCs w:val="21"/>
          <w:lang w:val="en-US" w:eastAsia="zh-CN"/>
        </w:rPr>
        <w:t xml:space="preserve">      </w:t>
      </w:r>
      <w:r>
        <w:rPr>
          <w:rFonts w:hint="eastAsia"/>
          <w:szCs w:val="21"/>
          <w:lang w:val="en-US"/>
        </w:rPr>
        <w:t xml:space="preserve">   </w:t>
      </w:r>
      <w:r>
        <w:rPr>
          <w:rFonts w:hint="eastAsia"/>
          <w:szCs w:val="21"/>
        </w:rPr>
        <w:t>电子邮箱：</w:t>
      </w:r>
      <w:r>
        <w:rPr>
          <w:rFonts w:hint="eastAsia"/>
          <w:szCs w:val="21"/>
          <w:lang w:val="en-US" w:eastAsia="zh-CN"/>
        </w:rPr>
        <w:t xml:space="preserve">     </w:t>
      </w:r>
      <w:r>
        <w:rPr>
          <w:rFonts w:hint="eastAsia"/>
          <w:szCs w:val="21"/>
          <w:lang w:val="en-US"/>
        </w:rPr>
        <w:t xml:space="preserve"> </w:t>
      </w:r>
    </w:p>
    <w:p>
      <w:pPr>
        <w:widowControl/>
        <w:jc w:val="left"/>
        <w:rPr>
          <w:rFonts w:hint="eastAsia"/>
          <w:szCs w:val="21"/>
        </w:rPr>
      </w:pPr>
      <w:r>
        <w:rPr>
          <w:rFonts w:hint="eastAsia"/>
          <w:szCs w:val="21"/>
        </w:rPr>
        <w:t xml:space="preserve">    甲乙双方通讯地址以本合同首部所列的信息为准。</w:t>
      </w:r>
    </w:p>
    <w:p>
      <w:pPr>
        <w:widowControl/>
        <w:numPr>
          <w:ilvl w:val="0"/>
          <w:numId w:val="22"/>
        </w:numPr>
        <w:ind w:left="851" w:hanging="425"/>
        <w:jc w:val="left"/>
        <w:rPr>
          <w:rFonts w:hint="eastAsia"/>
          <w:kern w:val="0"/>
          <w:szCs w:val="21"/>
        </w:rPr>
      </w:pPr>
      <w:r>
        <w:rPr>
          <w:rFonts w:hint="eastAsia"/>
        </w:rPr>
        <w:t>甲乙双方在本合同履行过程中相互发出或者提供的所有通知、文件、文书、函件、资料等，</w:t>
      </w:r>
      <w:r>
        <w:rPr>
          <w:rFonts w:hint="eastAsia"/>
          <w:szCs w:val="21"/>
        </w:rPr>
        <w:t>均以本合同“通知送达”条款列明的信息送达。</w:t>
      </w:r>
    </w:p>
    <w:p>
      <w:pPr>
        <w:widowControl/>
        <w:numPr>
          <w:ilvl w:val="0"/>
          <w:numId w:val="22"/>
        </w:numPr>
        <w:ind w:left="851"/>
        <w:jc w:val="left"/>
        <w:rPr>
          <w:rFonts w:hint="eastAsia"/>
          <w:kern w:val="0"/>
          <w:szCs w:val="21"/>
        </w:rPr>
      </w:pPr>
      <w:r>
        <w:rPr>
          <w:rFonts w:hint="eastAsia"/>
          <w:szCs w:val="21"/>
        </w:rPr>
        <w:t>在合同有效期内，一方前述信息如有变更，应当自变更之日起三日内书面通知对方，未履行通知义务的，另一方发至本合同首部列明的通讯地址、“通知送达”条款列明信息的相关材料，均视为有效送达。</w:t>
      </w:r>
    </w:p>
    <w:p>
      <w:pPr>
        <w:widowControl/>
        <w:numPr>
          <w:ilvl w:val="0"/>
          <w:numId w:val="22"/>
        </w:numPr>
        <w:ind w:left="851" w:hanging="425"/>
        <w:jc w:val="left"/>
        <w:rPr>
          <w:rFonts w:hint="eastAsia"/>
          <w:szCs w:val="21"/>
        </w:rPr>
      </w:pPr>
      <w:r>
        <w:rPr>
          <w:rFonts w:hint="eastAsia"/>
          <w:szCs w:val="21"/>
        </w:rPr>
        <w:t>当面交付上述材料的，在交付之时视为送达；以邮寄方式交付的，另一方签收之日视为已有效送达对方；签收之日不明确的，以信件寄出或投邮之日起算第三日视为送达；文件被拒绝签收的，以退回之日视为送达；以电子邮件方式送达上述材料，数据电文进入另一方系统之时视为送达；上述材料数据电文进入另一方系统之时不明确的，以电子邮件发出后的第二日视为送达。</w:t>
      </w:r>
    </w:p>
    <w:p>
      <w:pPr>
        <w:numPr>
          <w:ilvl w:val="0"/>
          <w:numId w:val="4"/>
        </w:numPr>
        <w:adjustRightInd w:val="0"/>
        <w:snapToGrid w:val="0"/>
        <w:spacing w:before="156" w:beforeLines="50"/>
        <w:rPr>
          <w:b/>
          <w:szCs w:val="21"/>
        </w:rPr>
      </w:pPr>
      <w:r>
        <w:rPr>
          <w:rFonts w:hint="eastAsia" w:hAnsi="宋体"/>
          <w:b/>
          <w:szCs w:val="21"/>
        </w:rPr>
        <w:t>其他</w:t>
      </w:r>
    </w:p>
    <w:p>
      <w:pPr>
        <w:numPr>
          <w:ilvl w:val="0"/>
          <w:numId w:val="23"/>
        </w:numPr>
        <w:adjustRightInd w:val="0"/>
        <w:snapToGrid w:val="0"/>
        <w:spacing w:before="156" w:beforeLines="50"/>
        <w:rPr>
          <w:rFonts w:hAnsi="宋体"/>
          <w:szCs w:val="21"/>
        </w:rPr>
      </w:pPr>
      <w:r>
        <w:rPr>
          <w:rFonts w:hint="eastAsia" w:hAnsi="宋体"/>
          <w:szCs w:val="21"/>
        </w:rPr>
        <w:t>本合同签订后,双方应认真遵守,任何一方在未得到对方书面许可的前提下均不得擅自解除合同。</w:t>
      </w:r>
    </w:p>
    <w:p>
      <w:pPr>
        <w:numPr>
          <w:ilvl w:val="0"/>
          <w:numId w:val="23"/>
        </w:numPr>
        <w:adjustRightInd w:val="0"/>
        <w:snapToGrid w:val="0"/>
        <w:spacing w:before="156" w:beforeLines="50"/>
        <w:rPr>
          <w:rFonts w:hAnsi="宋体"/>
          <w:szCs w:val="21"/>
        </w:rPr>
      </w:pPr>
      <w:r>
        <w:rPr>
          <w:rFonts w:hint="eastAsia" w:hAnsi="宋体"/>
          <w:szCs w:val="21"/>
        </w:rPr>
        <w:t>本合同履行过程中发生争议的，双方应友好协商解决，协商不成的，甲乙双方均可向甲方所在地人民法院提起诉讼。</w:t>
      </w:r>
    </w:p>
    <w:p>
      <w:pPr>
        <w:numPr>
          <w:ilvl w:val="0"/>
          <w:numId w:val="23"/>
        </w:numPr>
        <w:adjustRightInd w:val="0"/>
        <w:snapToGrid w:val="0"/>
        <w:spacing w:before="156" w:beforeLines="50"/>
        <w:rPr>
          <w:rFonts w:hAnsi="宋体"/>
          <w:szCs w:val="21"/>
        </w:rPr>
      </w:pPr>
      <w:r>
        <w:rPr>
          <w:rFonts w:hint="eastAsia" w:hAnsi="宋体"/>
          <w:szCs w:val="21"/>
        </w:rPr>
        <w:t>甲、乙双方均同意本合同经双方法定代表人或法人授权代表签字并加盖公章或合同专用章后生效，具体生效日以最后一个签字盖章日期为准。</w:t>
      </w:r>
      <w:r>
        <w:rPr>
          <w:rFonts w:hint="eastAsia" w:ascii="宋体" w:hAnsi="宋体"/>
          <w:szCs w:val="21"/>
        </w:rPr>
        <w:t>双方如须对本合同进行修改的，须平等协商并另行签订书面补充协议。对本合同文本的手动修改，除双方均对修改处盖章确认以外，对各方均不发生法律效力。</w:t>
      </w:r>
    </w:p>
    <w:p>
      <w:pPr>
        <w:numPr>
          <w:ilvl w:val="0"/>
          <w:numId w:val="23"/>
        </w:numPr>
        <w:adjustRightInd w:val="0"/>
        <w:snapToGrid w:val="0"/>
        <w:spacing w:before="156" w:beforeLines="50"/>
        <w:rPr>
          <w:rFonts w:hAnsi="宋体"/>
          <w:szCs w:val="21"/>
        </w:rPr>
      </w:pPr>
      <w:r>
        <w:rPr>
          <w:rFonts w:hint="eastAsia" w:hAnsi="宋体"/>
          <w:szCs w:val="21"/>
        </w:rPr>
        <w:t>本合同一式</w:t>
      </w:r>
      <w:r>
        <w:rPr>
          <w:rFonts w:hint="eastAsia" w:hAnsi="宋体"/>
          <w:szCs w:val="21"/>
          <w:lang w:val="en-US" w:eastAsia="zh-CN"/>
        </w:rPr>
        <w:t>陆</w:t>
      </w:r>
      <w:r>
        <w:rPr>
          <w:rFonts w:hint="eastAsia" w:hAnsi="宋体"/>
          <w:szCs w:val="21"/>
        </w:rPr>
        <w:t>份，甲方执</w:t>
      </w:r>
      <w:r>
        <w:rPr>
          <w:rFonts w:hint="eastAsia" w:hAnsi="宋体"/>
          <w:szCs w:val="21"/>
          <w:lang w:val="en-US" w:eastAsia="zh-CN"/>
        </w:rPr>
        <w:t>叁</w:t>
      </w:r>
      <w:r>
        <w:rPr>
          <w:rFonts w:hint="eastAsia" w:hAnsi="宋体"/>
          <w:szCs w:val="21"/>
        </w:rPr>
        <w:t>份，乙方执</w:t>
      </w:r>
      <w:r>
        <w:rPr>
          <w:rFonts w:hint="eastAsia" w:hAnsi="宋体"/>
          <w:szCs w:val="21"/>
          <w:lang w:val="en-US" w:eastAsia="zh-CN"/>
        </w:rPr>
        <w:t>叁</w:t>
      </w:r>
      <w:r>
        <w:rPr>
          <w:rFonts w:hint="eastAsia" w:hAnsi="宋体"/>
          <w:szCs w:val="21"/>
        </w:rPr>
        <w:t>份，具有同等法律效力。</w:t>
      </w:r>
    </w:p>
    <w:p>
      <w:pPr>
        <w:rPr>
          <w:rFonts w:hint="eastAsia" w:ascii="宋体" w:hAnsi="宋体"/>
          <w:b/>
          <w:szCs w:val="21"/>
        </w:rPr>
      </w:pPr>
      <w:r>
        <w:rPr>
          <w:rFonts w:hint="eastAsia" w:ascii="宋体" w:hAnsi="宋体"/>
          <w:b/>
          <w:szCs w:val="21"/>
        </w:rPr>
        <w:br w:type="page"/>
      </w:r>
    </w:p>
    <w:p>
      <w:pPr>
        <w:adjustRightInd w:val="0"/>
        <w:snapToGrid w:val="0"/>
        <w:spacing w:before="156" w:beforeLines="50"/>
        <w:ind w:left="0" w:right="42" w:rightChars="20" w:firstLine="0" w:firstLineChars="0"/>
        <w:rPr>
          <w:rFonts w:hint="eastAsia" w:ascii="宋体" w:hAnsi="宋体"/>
          <w:b/>
          <w:szCs w:val="21"/>
        </w:rPr>
      </w:pPr>
      <w:r>
        <w:rPr>
          <w:rFonts w:hint="eastAsia" w:ascii="宋体" w:hAnsi="宋体"/>
          <w:b/>
          <w:szCs w:val="21"/>
        </w:rPr>
        <w:t>（以下无正文）</w:t>
      </w:r>
    </w:p>
    <w:p>
      <w:pPr>
        <w:adjustRightInd w:val="0"/>
        <w:snapToGrid w:val="0"/>
        <w:spacing w:before="156" w:beforeLines="50"/>
        <w:ind w:left="945" w:right="42" w:rightChars="20" w:hanging="945" w:hangingChars="450"/>
        <w:rPr>
          <w:rFonts w:hint="eastAsia" w:ascii="宋体" w:hAnsi="宋体"/>
          <w:szCs w:val="21"/>
        </w:rPr>
      </w:pPr>
    </w:p>
    <w:p>
      <w:pPr>
        <w:adjustRightInd w:val="0"/>
        <w:snapToGrid w:val="0"/>
        <w:spacing w:before="156" w:beforeLines="50"/>
        <w:ind w:left="945" w:right="42" w:rightChars="20" w:hanging="945" w:hangingChars="450"/>
        <w:rPr>
          <w:rFonts w:hint="eastAsia" w:ascii="宋体" w:hAnsi="宋体"/>
          <w:szCs w:val="21"/>
        </w:rPr>
      </w:pPr>
    </w:p>
    <w:p>
      <w:pPr>
        <w:rPr>
          <w:rFonts w:hint="eastAsia" w:ascii="宋体" w:hAnsi="宋体" w:cs="TT54AB0ED3tCID-WinCharSetFFFF-H"/>
          <w:b/>
          <w:kern w:val="0"/>
          <w:sz w:val="24"/>
        </w:rPr>
      </w:pPr>
      <w:r>
        <w:rPr>
          <w:rFonts w:hint="eastAsia" w:ascii="宋体" w:hAnsi="宋体" w:cs="TT54AB0ED3tCID-WinCharSetFFFF-H"/>
          <w:b/>
          <w:kern w:val="0"/>
          <w:sz w:val="24"/>
        </w:rPr>
        <w:t>甲方</w:t>
      </w:r>
      <w:r>
        <w:rPr>
          <w:rFonts w:ascii="宋体" w:hAnsi="宋体" w:cs="TT54AB0ED3tCID-WinCharSetFFFF-H"/>
          <w:b/>
          <w:kern w:val="0"/>
          <w:sz w:val="24"/>
        </w:rPr>
        <w:t xml:space="preserve"> :</w:t>
      </w:r>
      <w:r>
        <w:rPr>
          <w:rFonts w:hint="eastAsia" w:ascii="宋体" w:hAnsi="宋体" w:cs="Arial"/>
          <w:b/>
          <w:kern w:val="0"/>
          <w:sz w:val="24"/>
        </w:rPr>
        <w:t xml:space="preserve"> 广州市城壹房地产</w:t>
      </w:r>
      <w:r>
        <w:rPr>
          <w:rFonts w:hint="eastAsia" w:ascii="宋体" w:hAnsi="宋体" w:cs="Arial"/>
          <w:b/>
          <w:kern w:val="0"/>
          <w:sz w:val="24"/>
          <w:lang w:val="en-US"/>
        </w:rPr>
        <w:t>顾问</w:t>
      </w:r>
      <w:r>
        <w:rPr>
          <w:rFonts w:hint="eastAsia" w:ascii="宋体" w:hAnsi="宋体" w:cs="Arial"/>
          <w:b/>
          <w:kern w:val="0"/>
          <w:sz w:val="24"/>
        </w:rPr>
        <w:t>有限公司</w:t>
      </w:r>
    </w:p>
    <w:p>
      <w:pPr>
        <w:autoSpaceDE w:val="0"/>
        <w:autoSpaceDN w:val="0"/>
        <w:adjustRightInd w:val="0"/>
        <w:snapToGrid w:val="0"/>
        <w:spacing w:line="360" w:lineRule="auto"/>
        <w:jc w:val="left"/>
        <w:rPr>
          <w:rFonts w:ascii="宋体" w:hAnsi="宋体"/>
          <w:b/>
          <w:sz w:val="24"/>
        </w:rPr>
      </w:pPr>
    </w:p>
    <w:p>
      <w:pPr>
        <w:autoSpaceDE w:val="0"/>
        <w:autoSpaceDN w:val="0"/>
        <w:adjustRightInd w:val="0"/>
        <w:snapToGrid w:val="0"/>
        <w:spacing w:line="360" w:lineRule="auto"/>
        <w:jc w:val="left"/>
        <w:rPr>
          <w:rFonts w:hint="eastAsia" w:ascii="宋体" w:hAnsi="宋体" w:cs="TT54AB0ED3tCID-WinCharSetFFFF-H"/>
          <w:b/>
          <w:kern w:val="0"/>
          <w:sz w:val="24"/>
        </w:rPr>
      </w:pPr>
      <w:r>
        <w:rPr>
          <w:rFonts w:hint="eastAsia" w:ascii="宋体" w:hAnsi="宋体" w:cs="TT54AB0ED3tCID-WinCharSetFFFF-H"/>
          <w:b/>
          <w:kern w:val="0"/>
          <w:sz w:val="24"/>
          <w:lang w:val="en-US"/>
        </w:rPr>
        <w:t>法定代表</w:t>
      </w:r>
      <w:r>
        <w:rPr>
          <w:rFonts w:hint="eastAsia" w:ascii="宋体" w:hAnsi="宋体" w:cs="TT54AB0ED3tCID-WinCharSetFFFF-H"/>
          <w:b/>
          <w:kern w:val="0"/>
          <w:sz w:val="24"/>
        </w:rPr>
        <w:t>人：</w:t>
      </w:r>
    </w:p>
    <w:p>
      <w:pPr>
        <w:autoSpaceDE w:val="0"/>
        <w:autoSpaceDN w:val="0"/>
        <w:adjustRightInd w:val="0"/>
        <w:snapToGrid w:val="0"/>
        <w:spacing w:line="360" w:lineRule="auto"/>
        <w:jc w:val="left"/>
        <w:rPr>
          <w:rFonts w:ascii="宋体" w:hAnsi="宋体" w:cs="Arial"/>
          <w:b/>
          <w:kern w:val="0"/>
          <w:sz w:val="24"/>
        </w:rPr>
      </w:pPr>
      <w:r>
        <w:rPr>
          <w:rFonts w:hint="eastAsia" w:ascii="宋体" w:hAnsi="宋体" w:cs="TT54AB0ED3tCID-WinCharSetFFFF-H"/>
          <w:b/>
          <w:kern w:val="0"/>
          <w:sz w:val="24"/>
        </w:rPr>
        <w:t>或授权代表</w:t>
      </w:r>
      <w:r>
        <w:rPr>
          <w:rFonts w:ascii="宋体" w:hAnsi="宋体" w:cs="TT54AB0ED3tCID-WinCharSetFFFF-H"/>
          <w:b/>
          <w:kern w:val="0"/>
          <w:sz w:val="24"/>
        </w:rPr>
        <w:t xml:space="preserve"> </w:t>
      </w:r>
      <w:r>
        <w:rPr>
          <w:rFonts w:ascii="宋体" w:hAnsi="宋体" w:cs="Arial"/>
          <w:b/>
          <w:kern w:val="0"/>
          <w:sz w:val="24"/>
        </w:rPr>
        <w:t>:</w:t>
      </w:r>
    </w:p>
    <w:p>
      <w:pPr>
        <w:autoSpaceDE w:val="0"/>
        <w:autoSpaceDN w:val="0"/>
        <w:adjustRightInd w:val="0"/>
        <w:snapToGrid w:val="0"/>
        <w:spacing w:line="360" w:lineRule="auto"/>
        <w:jc w:val="left"/>
        <w:rPr>
          <w:rFonts w:ascii="宋体" w:hAnsi="宋体" w:cs="TT54AB0ED3tCID-WinCharSetFFFF-H"/>
          <w:b/>
          <w:kern w:val="0"/>
          <w:sz w:val="24"/>
        </w:rPr>
      </w:pPr>
    </w:p>
    <w:p>
      <w:pPr>
        <w:autoSpaceDE w:val="0"/>
        <w:autoSpaceDN w:val="0"/>
        <w:adjustRightInd w:val="0"/>
        <w:snapToGrid w:val="0"/>
        <w:spacing w:line="360" w:lineRule="auto"/>
        <w:jc w:val="center"/>
        <w:rPr>
          <w:rFonts w:ascii="宋体" w:hAnsi="宋体" w:cs="TT54AB0ED3tCID-WinCharSetFFFF-H"/>
          <w:b/>
          <w:kern w:val="0"/>
          <w:sz w:val="24"/>
          <w:u w:val="single"/>
        </w:rPr>
      </w:pPr>
      <w:r>
        <w:rPr>
          <w:rFonts w:hint="eastAsia" w:ascii="宋体" w:hAnsi="宋体" w:cs="TT54AB0ED3tCID-WinCharSetFFFF-H"/>
          <w:b/>
          <w:kern w:val="0"/>
          <w:sz w:val="24"/>
        </w:rPr>
        <w:t>签约日期：</w:t>
      </w:r>
      <w:r>
        <w:rPr>
          <w:rFonts w:hint="eastAsia" w:ascii="宋体" w:hAnsi="宋体" w:cs="TT54AB0ED3tCID-WinCharSetFFFF-H"/>
          <w:b/>
          <w:kern w:val="0"/>
          <w:sz w:val="24"/>
          <w:u w:val="single"/>
          <w:lang w:val="en-US"/>
        </w:rPr>
        <w:t xml:space="preserve">     </w:t>
      </w:r>
      <w:r>
        <w:rPr>
          <w:rFonts w:hint="eastAsia" w:ascii="宋体" w:hAnsi="宋体" w:cs="TT54AB0ED3tCID-WinCharSetFFFF-H"/>
          <w:b/>
          <w:kern w:val="0"/>
          <w:sz w:val="24"/>
        </w:rPr>
        <w:t>年</w:t>
      </w:r>
      <w:r>
        <w:rPr>
          <w:rFonts w:hint="eastAsia" w:ascii="宋体" w:hAnsi="宋体" w:cs="TT54AB0ED3tCID-WinCharSetFFFF-H"/>
          <w:b/>
          <w:kern w:val="0"/>
          <w:sz w:val="24"/>
          <w:u w:val="single"/>
        </w:rPr>
        <w:t xml:space="preserve">    </w:t>
      </w:r>
      <w:r>
        <w:rPr>
          <w:rFonts w:hint="eastAsia" w:ascii="宋体" w:hAnsi="宋体" w:cs="TT54AB0ED3tCID-WinCharSetFFFF-H"/>
          <w:b/>
          <w:kern w:val="0"/>
          <w:sz w:val="24"/>
        </w:rPr>
        <w:t>月</w:t>
      </w:r>
      <w:r>
        <w:rPr>
          <w:rFonts w:hint="eastAsia" w:ascii="宋体" w:hAnsi="宋体" w:cs="TT54AB0ED3tCID-WinCharSetFFFF-H"/>
          <w:b/>
          <w:kern w:val="0"/>
          <w:sz w:val="24"/>
          <w:u w:val="single"/>
        </w:rPr>
        <w:t xml:space="preserve">   </w:t>
      </w:r>
      <w:r>
        <w:rPr>
          <w:rFonts w:hint="eastAsia" w:ascii="宋体" w:hAnsi="宋体" w:cs="TT54AB0ED3tCID-WinCharSetFFFF-H"/>
          <w:b/>
          <w:kern w:val="0"/>
          <w:sz w:val="24"/>
        </w:rPr>
        <w:t>日</w:t>
      </w:r>
    </w:p>
    <w:p>
      <w:pPr>
        <w:autoSpaceDE w:val="0"/>
        <w:autoSpaceDN w:val="0"/>
        <w:adjustRightInd w:val="0"/>
        <w:snapToGrid w:val="0"/>
        <w:spacing w:line="360" w:lineRule="auto"/>
        <w:jc w:val="left"/>
        <w:rPr>
          <w:rFonts w:ascii="宋体" w:hAnsi="宋体" w:cs="TT54AB0ED3tCID-WinCharSetFFFF-H"/>
          <w:b/>
          <w:kern w:val="0"/>
          <w:sz w:val="24"/>
        </w:rPr>
      </w:pPr>
    </w:p>
    <w:p>
      <w:pPr>
        <w:autoSpaceDE w:val="0"/>
        <w:autoSpaceDN w:val="0"/>
        <w:adjustRightInd w:val="0"/>
        <w:snapToGrid w:val="0"/>
        <w:spacing w:line="360" w:lineRule="auto"/>
        <w:jc w:val="left"/>
        <w:rPr>
          <w:rFonts w:ascii="宋体" w:hAnsi="宋体" w:cs="TT54AB0ED3tCID-WinCharSetFFFF-H"/>
          <w:b/>
          <w:kern w:val="0"/>
          <w:sz w:val="24"/>
        </w:rPr>
      </w:pPr>
    </w:p>
    <w:p>
      <w:pPr>
        <w:autoSpaceDE w:val="0"/>
        <w:autoSpaceDN w:val="0"/>
        <w:adjustRightInd w:val="0"/>
        <w:snapToGrid w:val="0"/>
        <w:spacing w:line="360" w:lineRule="auto"/>
        <w:jc w:val="left"/>
        <w:rPr>
          <w:rFonts w:ascii="宋体" w:hAnsi="宋体" w:cs="TT54AB0ED3tCID-WinCharSetFFFF-H"/>
          <w:b/>
          <w:kern w:val="0"/>
          <w:sz w:val="24"/>
        </w:rPr>
      </w:pPr>
    </w:p>
    <w:p>
      <w:pPr>
        <w:autoSpaceDE w:val="0"/>
        <w:autoSpaceDN w:val="0"/>
        <w:adjustRightInd w:val="0"/>
        <w:snapToGrid w:val="0"/>
        <w:spacing w:line="360" w:lineRule="auto"/>
        <w:jc w:val="left"/>
        <w:rPr>
          <w:rFonts w:ascii="宋体" w:hAnsi="宋体"/>
          <w:b/>
          <w:sz w:val="24"/>
        </w:rPr>
      </w:pPr>
      <w:r>
        <w:rPr>
          <w:rFonts w:hint="eastAsia" w:ascii="宋体" w:hAnsi="宋体" w:cs="TT54AB0ED3tCID-WinCharSetFFFF-H"/>
          <w:b/>
          <w:kern w:val="0"/>
          <w:sz w:val="24"/>
        </w:rPr>
        <w:t>乙方</w:t>
      </w:r>
      <w:r>
        <w:rPr>
          <w:rFonts w:ascii="宋体" w:hAnsi="宋体" w:cs="TT54AB0ED3tCID-WinCharSetFFFF-H"/>
          <w:b/>
          <w:kern w:val="0"/>
          <w:sz w:val="24"/>
        </w:rPr>
        <w:t xml:space="preserve"> </w:t>
      </w:r>
      <w:r>
        <w:rPr>
          <w:rFonts w:ascii="宋体" w:hAnsi="宋体" w:cs="Arial"/>
          <w:b/>
          <w:kern w:val="0"/>
          <w:sz w:val="24"/>
        </w:rPr>
        <w:t>:</w:t>
      </w:r>
    </w:p>
    <w:p>
      <w:pPr>
        <w:autoSpaceDE w:val="0"/>
        <w:autoSpaceDN w:val="0"/>
        <w:adjustRightInd w:val="0"/>
        <w:snapToGrid w:val="0"/>
        <w:spacing w:line="360" w:lineRule="auto"/>
        <w:jc w:val="left"/>
        <w:rPr>
          <w:rFonts w:ascii="宋体" w:hAnsi="宋体"/>
          <w:b/>
          <w:sz w:val="24"/>
        </w:rPr>
      </w:pPr>
    </w:p>
    <w:p>
      <w:pPr>
        <w:autoSpaceDE w:val="0"/>
        <w:autoSpaceDN w:val="0"/>
        <w:adjustRightInd w:val="0"/>
        <w:snapToGrid w:val="0"/>
        <w:spacing w:line="360" w:lineRule="auto"/>
        <w:jc w:val="left"/>
        <w:rPr>
          <w:rFonts w:hint="eastAsia" w:ascii="宋体" w:hAnsi="宋体" w:cs="TT54AB0ED3tCID-WinCharSetFFFF-H"/>
          <w:b/>
          <w:kern w:val="0"/>
          <w:sz w:val="24"/>
        </w:rPr>
      </w:pPr>
      <w:r>
        <w:rPr>
          <w:rFonts w:hint="eastAsia" w:ascii="宋体" w:hAnsi="宋体" w:cs="TT54AB0ED3tCID-WinCharSetFFFF-H"/>
          <w:b/>
          <w:kern w:val="0"/>
          <w:sz w:val="24"/>
        </w:rPr>
        <w:t>法定代表人：</w:t>
      </w:r>
    </w:p>
    <w:p>
      <w:pPr>
        <w:autoSpaceDE w:val="0"/>
        <w:autoSpaceDN w:val="0"/>
        <w:adjustRightInd w:val="0"/>
        <w:snapToGrid w:val="0"/>
        <w:spacing w:line="360" w:lineRule="auto"/>
        <w:jc w:val="left"/>
        <w:rPr>
          <w:rFonts w:ascii="宋体" w:hAnsi="宋体" w:cs="Arial"/>
          <w:b/>
          <w:kern w:val="0"/>
          <w:sz w:val="24"/>
        </w:rPr>
      </w:pPr>
      <w:r>
        <w:rPr>
          <w:rFonts w:hint="eastAsia" w:ascii="宋体" w:hAnsi="宋体" w:cs="TT54AB0ED3tCID-WinCharSetFFFF-H"/>
          <w:b/>
          <w:kern w:val="0"/>
          <w:sz w:val="24"/>
        </w:rPr>
        <w:t>或授权代表</w:t>
      </w:r>
      <w:r>
        <w:rPr>
          <w:rFonts w:ascii="宋体" w:hAnsi="宋体" w:cs="TT54AB0ED3tCID-WinCharSetFFFF-H"/>
          <w:b/>
          <w:kern w:val="0"/>
          <w:sz w:val="24"/>
        </w:rPr>
        <w:t xml:space="preserve"> </w:t>
      </w:r>
      <w:r>
        <w:rPr>
          <w:rFonts w:ascii="宋体" w:hAnsi="宋体" w:cs="Arial"/>
          <w:b/>
          <w:kern w:val="0"/>
          <w:sz w:val="24"/>
        </w:rPr>
        <w:t>:</w:t>
      </w:r>
    </w:p>
    <w:p>
      <w:pPr>
        <w:autoSpaceDE w:val="0"/>
        <w:autoSpaceDN w:val="0"/>
        <w:adjustRightInd w:val="0"/>
        <w:snapToGrid w:val="0"/>
        <w:spacing w:line="360" w:lineRule="auto"/>
        <w:jc w:val="left"/>
        <w:rPr>
          <w:rFonts w:ascii="宋体" w:hAnsi="宋体" w:cs="TT54AB0ED3tCID-WinCharSetFFFF-H"/>
          <w:b/>
          <w:kern w:val="0"/>
          <w:sz w:val="24"/>
        </w:rPr>
      </w:pPr>
    </w:p>
    <w:p>
      <w:pPr>
        <w:autoSpaceDE w:val="0"/>
        <w:autoSpaceDN w:val="0"/>
        <w:adjustRightInd w:val="0"/>
        <w:snapToGrid w:val="0"/>
        <w:spacing w:line="360" w:lineRule="auto"/>
        <w:jc w:val="left"/>
        <w:rPr>
          <w:rFonts w:ascii="宋体" w:hAnsi="宋体" w:cs="TT54AB0ED3tCID-WinCharSetFFFF-H"/>
          <w:b/>
          <w:kern w:val="0"/>
          <w:sz w:val="24"/>
        </w:rPr>
      </w:pPr>
    </w:p>
    <w:p>
      <w:pPr>
        <w:autoSpaceDE w:val="0"/>
        <w:autoSpaceDN w:val="0"/>
        <w:adjustRightInd w:val="0"/>
        <w:snapToGrid w:val="0"/>
        <w:spacing w:line="360" w:lineRule="auto"/>
        <w:jc w:val="left"/>
        <w:rPr>
          <w:rFonts w:ascii="宋体" w:hAnsi="宋体" w:cs="TT54AB0ED3tCID-WinCharSetFFFF-H"/>
          <w:b/>
          <w:kern w:val="0"/>
          <w:sz w:val="24"/>
        </w:rPr>
      </w:pPr>
    </w:p>
    <w:p>
      <w:pPr>
        <w:autoSpaceDE w:val="0"/>
        <w:autoSpaceDN w:val="0"/>
        <w:adjustRightInd w:val="0"/>
        <w:snapToGrid w:val="0"/>
        <w:spacing w:line="360" w:lineRule="auto"/>
        <w:jc w:val="center"/>
        <w:rPr>
          <w:rFonts w:hint="eastAsia" w:ascii="宋体" w:hAnsi="宋体" w:cs="TT54AB0ED3tCID-WinCharSetFFFF-H"/>
          <w:b/>
          <w:kern w:val="0"/>
          <w:sz w:val="24"/>
        </w:rPr>
      </w:pPr>
      <w:r>
        <w:rPr>
          <w:rFonts w:hint="eastAsia" w:ascii="宋体" w:hAnsi="宋体" w:cs="TT54AB0ED3tCID-WinCharSetFFFF-H"/>
          <w:b/>
          <w:kern w:val="0"/>
          <w:sz w:val="24"/>
        </w:rPr>
        <w:t>签约日期：</w:t>
      </w:r>
      <w:r>
        <w:rPr>
          <w:rFonts w:hint="eastAsia" w:ascii="宋体" w:hAnsi="宋体" w:cs="TT54AB0ED3tCID-WinCharSetFFFF-H"/>
          <w:b/>
          <w:kern w:val="0"/>
          <w:sz w:val="24"/>
          <w:u w:val="single"/>
          <w:lang w:val="en-US"/>
        </w:rPr>
        <w:t xml:space="preserve">     </w:t>
      </w:r>
      <w:r>
        <w:rPr>
          <w:rFonts w:hint="eastAsia" w:ascii="宋体" w:hAnsi="宋体" w:cs="TT54AB0ED3tCID-WinCharSetFFFF-H"/>
          <w:b/>
          <w:kern w:val="0"/>
          <w:sz w:val="24"/>
        </w:rPr>
        <w:t>年</w:t>
      </w:r>
      <w:r>
        <w:rPr>
          <w:rFonts w:hint="eastAsia" w:ascii="宋体" w:hAnsi="宋体" w:cs="TT54AB0ED3tCID-WinCharSetFFFF-H"/>
          <w:b/>
          <w:kern w:val="0"/>
          <w:sz w:val="24"/>
          <w:u w:val="single"/>
        </w:rPr>
        <w:t xml:space="preserve">    </w:t>
      </w:r>
      <w:r>
        <w:rPr>
          <w:rFonts w:hint="eastAsia" w:ascii="宋体" w:hAnsi="宋体" w:cs="TT54AB0ED3tCID-WinCharSetFFFF-H"/>
          <w:b/>
          <w:kern w:val="0"/>
          <w:sz w:val="24"/>
        </w:rPr>
        <w:t>月</w:t>
      </w:r>
      <w:r>
        <w:rPr>
          <w:rFonts w:hint="eastAsia" w:ascii="宋体" w:hAnsi="宋体" w:cs="TT54AB0ED3tCID-WinCharSetFFFF-H"/>
          <w:b/>
          <w:kern w:val="0"/>
          <w:sz w:val="24"/>
          <w:u w:val="single"/>
        </w:rPr>
        <w:t xml:space="preserve">   </w:t>
      </w:r>
      <w:r>
        <w:rPr>
          <w:rFonts w:hint="eastAsia" w:ascii="宋体" w:hAnsi="宋体" w:cs="TT54AB0ED3tCID-WinCharSetFFFF-H"/>
          <w:b/>
          <w:kern w:val="0"/>
          <w:sz w:val="24"/>
        </w:rPr>
        <w:t>日</w:t>
      </w:r>
    </w:p>
    <w:p>
      <w:pPr>
        <w:adjustRightInd w:val="0"/>
        <w:snapToGrid w:val="0"/>
        <w:spacing w:before="156" w:beforeLines="50"/>
        <w:rPr>
          <w:rFonts w:ascii="微软雅黑" w:hAnsi="微软雅黑" w:eastAsia="微软雅黑" w:cs="微软雅黑"/>
          <w:szCs w:val="21"/>
          <w:lang w:eastAsia="zh-Hans"/>
        </w:rPr>
      </w:pPr>
      <w:r>
        <w:rPr>
          <w:rFonts w:hint="eastAsia" w:ascii="宋体" w:hAnsi="宋体" w:cs="TT54AB0ED3tCID-WinCharSetFFFF-H"/>
          <w:b/>
          <w:kern w:val="0"/>
          <w:sz w:val="24"/>
        </w:rPr>
        <w:br w:type="page"/>
      </w:r>
      <w:r>
        <w:rPr>
          <w:rFonts w:hint="eastAsia" w:ascii="微软雅黑" w:hAnsi="微软雅黑" w:eastAsia="微软雅黑" w:cs="微软雅黑"/>
          <w:sz w:val="24"/>
          <w:lang w:val="en-US" w:eastAsia="zh-Hans"/>
        </w:rPr>
        <w:t>附件</w:t>
      </w:r>
    </w:p>
    <w:tbl>
      <w:tblPr>
        <w:tblStyle w:val="6"/>
        <w:tblW w:w="7812" w:type="dxa"/>
        <w:tblInd w:w="0" w:type="dxa"/>
        <w:tblLayout w:type="autofit"/>
        <w:tblCellMar>
          <w:top w:w="15" w:type="dxa"/>
          <w:left w:w="15" w:type="dxa"/>
          <w:bottom w:w="15" w:type="dxa"/>
          <w:right w:w="15" w:type="dxa"/>
        </w:tblCellMar>
      </w:tblPr>
      <w:tblGrid>
        <w:gridCol w:w="601"/>
        <w:gridCol w:w="1013"/>
        <w:gridCol w:w="4355"/>
        <w:gridCol w:w="850"/>
        <w:gridCol w:w="419"/>
        <w:gridCol w:w="574"/>
      </w:tblGrid>
      <w:tr>
        <w:tblPrEx>
          <w:tblCellMar>
            <w:top w:w="15" w:type="dxa"/>
            <w:left w:w="15" w:type="dxa"/>
            <w:bottom w:w="15" w:type="dxa"/>
            <w:right w:w="15" w:type="dxa"/>
          </w:tblCellMar>
        </w:tblPrEx>
        <w:trPr>
          <w:trHeight w:val="565" w:hRule="atLeast"/>
        </w:trPr>
        <w:tc>
          <w:tcPr>
            <w:tcW w:w="601" w:type="dxa"/>
            <w:tcBorders>
              <w:left w:val="single" w:color="808080" w:sz="12" w:space="0"/>
              <w:bottom w:val="single" w:color="FFFFFF" w:sz="12" w:space="0"/>
              <w:right w:val="single" w:color="F2F2F2" w:sz="4" w:space="0"/>
            </w:tcBorders>
            <w:shd w:val="clear" w:color="auto" w:fill="A6A6A6"/>
            <w:noWrap w:val="0"/>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val="en-US" w:bidi="ar"/>
              </w:rPr>
              <w:t>序号</w:t>
            </w:r>
          </w:p>
        </w:tc>
        <w:tc>
          <w:tcPr>
            <w:tcW w:w="5368" w:type="dxa"/>
            <w:gridSpan w:val="2"/>
            <w:tcBorders>
              <w:left w:val="single" w:color="F2F2F2" w:sz="4" w:space="0"/>
              <w:bottom w:val="single" w:color="FFFFFF" w:sz="12" w:space="0"/>
              <w:right w:val="single" w:color="F2F2F2" w:sz="4" w:space="0"/>
            </w:tcBorders>
            <w:shd w:val="clear" w:color="auto" w:fill="A6A6A6"/>
            <w:noWrap w:val="0"/>
            <w:vAlign w:val="center"/>
          </w:tcPr>
          <w:p>
            <w:pPr>
              <w:widowControl/>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val="en-US" w:bidi="ar"/>
              </w:rPr>
              <w:t>项目商铺落位论证服务内容</w:t>
            </w:r>
          </w:p>
        </w:tc>
        <w:tc>
          <w:tcPr>
            <w:tcW w:w="850" w:type="dxa"/>
            <w:tcBorders>
              <w:bottom w:val="single" w:color="FFFFFF" w:sz="12" w:space="0"/>
              <w:right w:val="single" w:color="F2F2F2" w:sz="4" w:space="0"/>
            </w:tcBorders>
            <w:shd w:val="clear" w:color="auto" w:fill="A6A6A6"/>
            <w:noWrap w:val="0"/>
            <w:vAlign w:val="center"/>
          </w:tcPr>
          <w:p>
            <w:pPr>
              <w:widowControl/>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val="en-US" w:bidi="ar"/>
              </w:rPr>
              <w:t>交付内容</w:t>
            </w:r>
          </w:p>
        </w:tc>
        <w:tc>
          <w:tcPr>
            <w:tcW w:w="419" w:type="dxa"/>
            <w:tcBorders>
              <w:left w:val="single" w:color="F2F2F2" w:sz="4" w:space="0"/>
              <w:bottom w:val="single" w:color="FFFFFF" w:sz="12" w:space="0"/>
              <w:right w:val="single" w:color="F2F2F2" w:sz="4" w:space="0"/>
            </w:tcBorders>
            <w:shd w:val="clear" w:color="auto" w:fill="A6A6A6"/>
            <w:noWrap w:val="0"/>
            <w:vAlign w:val="center"/>
          </w:tcPr>
          <w:p>
            <w:pPr>
              <w:widowControl/>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val="en-US" w:bidi="ar"/>
              </w:rPr>
              <w:t>数量</w:t>
            </w:r>
          </w:p>
        </w:tc>
        <w:tc>
          <w:tcPr>
            <w:tcW w:w="574" w:type="dxa"/>
            <w:tcBorders>
              <w:left w:val="single" w:color="F2F2F2" w:sz="4" w:space="0"/>
              <w:bottom w:val="single" w:color="FFFFFF" w:sz="12" w:space="0"/>
              <w:right w:val="single" w:color="F2F2F2" w:sz="4" w:space="0"/>
            </w:tcBorders>
            <w:shd w:val="clear" w:color="auto" w:fill="A6A6A6"/>
            <w:noWrap w:val="0"/>
            <w:vAlign w:val="center"/>
          </w:tcPr>
          <w:p>
            <w:pPr>
              <w:widowControl/>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val="en-US" w:bidi="ar"/>
              </w:rPr>
              <w:t>时长/工日</w:t>
            </w:r>
          </w:p>
        </w:tc>
      </w:tr>
      <w:tr>
        <w:tblPrEx>
          <w:tblCellMar>
            <w:top w:w="15" w:type="dxa"/>
            <w:left w:w="15" w:type="dxa"/>
            <w:bottom w:w="15" w:type="dxa"/>
            <w:right w:w="15" w:type="dxa"/>
          </w:tblCellMar>
        </w:tblPrEx>
        <w:trPr>
          <w:trHeight w:val="321" w:hRule="atLeast"/>
        </w:trPr>
        <w:tc>
          <w:tcPr>
            <w:tcW w:w="7812" w:type="dxa"/>
            <w:gridSpan w:val="6"/>
            <w:tcBorders>
              <w:left w:val="single" w:color="808080" w:sz="12" w:space="0"/>
              <w:bottom w:val="single" w:color="808080" w:sz="4" w:space="0"/>
              <w:right w:val="single" w:color="808080" w:sz="4" w:space="0"/>
            </w:tcBorders>
            <w:shd w:val="clear" w:color="auto" w:fill="F8CBAD"/>
            <w:noWrap w:val="0"/>
            <w:vAlign w:val="center"/>
          </w:tcPr>
          <w:p>
            <w:pPr>
              <w:widowControl/>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val="en-US" w:bidi="ar"/>
              </w:rPr>
              <w:t>项目前期预测分析</w:t>
            </w:r>
          </w:p>
        </w:tc>
      </w:tr>
      <w:tr>
        <w:tblPrEx>
          <w:tblCellMar>
            <w:top w:w="15" w:type="dxa"/>
            <w:left w:w="15" w:type="dxa"/>
            <w:bottom w:w="15" w:type="dxa"/>
            <w:right w:w="15" w:type="dxa"/>
          </w:tblCellMar>
        </w:tblPrEx>
        <w:trPr>
          <w:trHeight w:val="2004" w:hRule="atLeast"/>
        </w:trPr>
        <w:tc>
          <w:tcPr>
            <w:tcW w:w="601" w:type="dxa"/>
            <w:tcBorders>
              <w:top w:val="single" w:color="808080" w:sz="4" w:space="0"/>
              <w:left w:val="single" w:color="808080" w:sz="12"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1013" w:type="dxa"/>
            <w:vMerge w:val="restart"/>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项目周边调研报告及分析建议</w:t>
            </w:r>
          </w:p>
        </w:tc>
        <w:tc>
          <w:tcPr>
            <w:tcW w:w="4355" w:type="dxa"/>
            <w:tcBorders>
              <w:top w:val="single" w:color="808080" w:sz="4" w:space="0"/>
              <w:left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color w:val="000000"/>
                <w:sz w:val="18"/>
                <w:szCs w:val="18"/>
              </w:rPr>
            </w:pPr>
            <w:r>
              <w:rPr>
                <w:rStyle w:val="17"/>
                <w:rFonts w:hint="default"/>
                <w:sz w:val="18"/>
                <w:szCs w:val="18"/>
                <w:lang w:val="en-US" w:bidi="ar"/>
              </w:rPr>
              <w:t>项目所在地市场调研</w:t>
            </w:r>
            <w:r>
              <w:rPr>
                <w:rStyle w:val="13"/>
                <w:rFonts w:hint="default"/>
                <w:sz w:val="18"/>
                <w:szCs w:val="18"/>
                <w:lang w:val="en-US" w:bidi="ar"/>
              </w:rPr>
              <w:br w:type="textWrapping"/>
            </w:r>
            <w:r>
              <w:rPr>
                <w:rStyle w:val="13"/>
                <w:rFonts w:hint="default"/>
                <w:sz w:val="18"/>
                <w:szCs w:val="18"/>
                <w:lang w:val="en-US" w:bidi="ar"/>
              </w:rPr>
              <w:t>1、分析甲方区位定位，对项目设计提出建议；</w:t>
            </w:r>
            <w:r>
              <w:rPr>
                <w:rStyle w:val="13"/>
                <w:rFonts w:hint="default"/>
                <w:sz w:val="18"/>
                <w:szCs w:val="18"/>
                <w:lang w:val="en-US" w:bidi="ar"/>
              </w:rPr>
              <w:br w:type="textWrapping"/>
            </w:r>
            <w:r>
              <w:rPr>
                <w:rStyle w:val="13"/>
                <w:rFonts w:hint="default"/>
                <w:sz w:val="18"/>
                <w:szCs w:val="18"/>
                <w:lang w:val="en-US" w:bidi="ar"/>
              </w:rPr>
              <w:t>2、对项目所在地周边情况，如：人群画像、区位优势、政策、项目与周边区域关系等现况进行走访调研；</w:t>
            </w:r>
            <w:r>
              <w:rPr>
                <w:rStyle w:val="13"/>
                <w:rFonts w:hint="default"/>
                <w:sz w:val="18"/>
                <w:szCs w:val="18"/>
                <w:lang w:val="en-US" w:bidi="ar"/>
              </w:rPr>
              <w:br w:type="textWrapping"/>
            </w:r>
            <w:r>
              <w:rPr>
                <w:rStyle w:val="13"/>
                <w:rFonts w:hint="default"/>
                <w:sz w:val="18"/>
                <w:szCs w:val="18"/>
                <w:lang w:val="en-US" w:bidi="ar"/>
              </w:rPr>
              <w:t>3、对调研结果进行归纳整理，核心优势提炼</w:t>
            </w:r>
          </w:p>
        </w:tc>
        <w:tc>
          <w:tcPr>
            <w:tcW w:w="850" w:type="dxa"/>
            <w:vMerge w:val="restart"/>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前期策划报告</w:t>
            </w:r>
            <w:r>
              <w:rPr>
                <w:rFonts w:hint="eastAsia" w:ascii="微软雅黑" w:hAnsi="微软雅黑" w:eastAsia="微软雅黑" w:cs="微软雅黑"/>
                <w:color w:val="000000"/>
                <w:kern w:val="0"/>
                <w:sz w:val="18"/>
                <w:szCs w:val="18"/>
                <w:lang w:val="en-US" w:eastAsia="zh-Hans" w:bidi="ar"/>
              </w:rPr>
              <w:t>PPT</w:t>
            </w:r>
            <w:r>
              <w:rPr>
                <w:rFonts w:hint="eastAsia" w:ascii="微软雅黑" w:hAnsi="微软雅黑" w:eastAsia="微软雅黑" w:cs="微软雅黑"/>
                <w:color w:val="000000"/>
                <w:kern w:val="0"/>
                <w:sz w:val="18"/>
                <w:szCs w:val="18"/>
                <w:lang w:val="en-US" w:bidi="ar"/>
              </w:rPr>
              <w:br w:type="textWrapping"/>
            </w:r>
            <w:r>
              <w:rPr>
                <w:rFonts w:hint="eastAsia" w:ascii="微软雅黑" w:hAnsi="微软雅黑" w:eastAsia="微软雅黑" w:cs="微软雅黑"/>
                <w:color w:val="000000"/>
                <w:kern w:val="0"/>
                <w:sz w:val="18"/>
                <w:szCs w:val="18"/>
                <w:lang w:val="en-US" w:bidi="ar"/>
              </w:rPr>
              <w:t>（初稿）</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10</w:t>
            </w:r>
          </w:p>
        </w:tc>
      </w:tr>
      <w:tr>
        <w:tblPrEx>
          <w:tblCellMar>
            <w:top w:w="15" w:type="dxa"/>
            <w:left w:w="15" w:type="dxa"/>
            <w:bottom w:w="15" w:type="dxa"/>
            <w:right w:w="15" w:type="dxa"/>
          </w:tblCellMar>
        </w:tblPrEx>
        <w:trPr>
          <w:trHeight w:val="864" w:hRule="atLeast"/>
        </w:trPr>
        <w:tc>
          <w:tcPr>
            <w:tcW w:w="601" w:type="dxa"/>
            <w:tcBorders>
              <w:top w:val="single" w:color="808080" w:sz="4" w:space="0"/>
              <w:left w:val="single" w:color="808080" w:sz="12"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2</w:t>
            </w:r>
          </w:p>
        </w:tc>
        <w:tc>
          <w:tcPr>
            <w:tcW w:w="1013"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color w:val="000000"/>
                <w:sz w:val="18"/>
                <w:szCs w:val="18"/>
              </w:rPr>
            </w:pP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color w:val="000000"/>
                <w:sz w:val="18"/>
                <w:szCs w:val="18"/>
              </w:rPr>
            </w:pPr>
            <w:r>
              <w:rPr>
                <w:rStyle w:val="17"/>
                <w:rFonts w:hint="default"/>
                <w:sz w:val="18"/>
                <w:szCs w:val="18"/>
                <w:lang w:val="en-US" w:bidi="ar"/>
              </w:rPr>
              <w:t>项目商业定位报告</w:t>
            </w:r>
            <w:r>
              <w:rPr>
                <w:rStyle w:val="13"/>
                <w:rFonts w:hint="default"/>
                <w:sz w:val="18"/>
                <w:szCs w:val="18"/>
                <w:lang w:val="en-US" w:bidi="ar"/>
              </w:rPr>
              <w:br w:type="textWrapping"/>
            </w:r>
            <w:r>
              <w:rPr>
                <w:rStyle w:val="13"/>
                <w:rFonts w:hint="default"/>
                <w:sz w:val="18"/>
                <w:szCs w:val="18"/>
                <w:lang w:val="en-US" w:bidi="ar"/>
              </w:rPr>
              <w:t>1、根据调研报告分析，拟定项目商业定位报告，包括：、商铺品牌定位、业态布局规划、租金价格定位、形象定位等；</w:t>
            </w:r>
            <w:r>
              <w:rPr>
                <w:rStyle w:val="13"/>
                <w:rFonts w:hint="default"/>
                <w:sz w:val="18"/>
                <w:szCs w:val="18"/>
                <w:lang w:val="en-US" w:bidi="ar"/>
              </w:rPr>
              <w:br w:type="textWrapping"/>
            </w:r>
            <w:r>
              <w:rPr>
                <w:rStyle w:val="13"/>
                <w:rFonts w:hint="default"/>
                <w:sz w:val="18"/>
                <w:szCs w:val="18"/>
                <w:lang w:val="en-US" w:bidi="ar"/>
              </w:rPr>
              <w:t>2、针对定位报告及市场环境分析，拟定项目运营宣传策略。</w:t>
            </w:r>
          </w:p>
        </w:tc>
        <w:tc>
          <w:tcPr>
            <w:tcW w:w="850"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color w:val="000000"/>
                <w:sz w:val="18"/>
                <w:szCs w:val="18"/>
              </w:rPr>
            </w:pP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2</w:t>
            </w:r>
          </w:p>
        </w:tc>
      </w:tr>
      <w:tr>
        <w:tblPrEx>
          <w:tblCellMar>
            <w:top w:w="15" w:type="dxa"/>
            <w:left w:w="15" w:type="dxa"/>
            <w:bottom w:w="15" w:type="dxa"/>
            <w:right w:w="15" w:type="dxa"/>
          </w:tblCellMar>
        </w:tblPrEx>
        <w:trPr>
          <w:trHeight w:val="1225" w:hRule="atLeast"/>
        </w:trPr>
        <w:tc>
          <w:tcPr>
            <w:tcW w:w="601" w:type="dxa"/>
            <w:tcBorders>
              <w:top w:val="single" w:color="808080" w:sz="4" w:space="0"/>
              <w:left w:val="single" w:color="808080" w:sz="12"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3</w:t>
            </w:r>
          </w:p>
        </w:tc>
        <w:tc>
          <w:tcPr>
            <w:tcW w:w="1013"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项目招商分析及建议</w:t>
            </w:r>
          </w:p>
        </w:tc>
        <w:tc>
          <w:tcPr>
            <w:tcW w:w="4355" w:type="dxa"/>
            <w:tcBorders>
              <w:top w:val="single" w:color="808080" w:sz="4" w:space="0"/>
              <w:left w:val="single" w:color="808080" w:sz="4" w:space="0"/>
              <w:right w:val="single" w:color="808080" w:sz="4" w:space="0"/>
            </w:tcBorders>
            <w:noWrap w:val="0"/>
            <w:vAlign w:val="center"/>
          </w:tcPr>
          <w:p>
            <w:pPr>
              <w:widowControl/>
              <w:jc w:val="left"/>
              <w:textAlignment w:val="center"/>
              <w:rPr>
                <w:rStyle w:val="13"/>
                <w:rFonts w:hint="default"/>
                <w:sz w:val="18"/>
                <w:szCs w:val="18"/>
                <w:lang w:val="en-US" w:bidi="ar"/>
              </w:rPr>
            </w:pPr>
            <w:r>
              <w:rPr>
                <w:rStyle w:val="17"/>
                <w:rFonts w:hint="default"/>
                <w:sz w:val="18"/>
                <w:szCs w:val="18"/>
                <w:lang w:val="en-US" w:bidi="ar"/>
              </w:rPr>
              <w:t>招商策略</w:t>
            </w:r>
            <w:r>
              <w:rPr>
                <w:rStyle w:val="13"/>
                <w:rFonts w:hint="default"/>
                <w:sz w:val="18"/>
                <w:szCs w:val="18"/>
                <w:lang w:val="en-US" w:bidi="ar"/>
              </w:rPr>
              <w:br w:type="textWrapping"/>
            </w:r>
            <w:r>
              <w:rPr>
                <w:rStyle w:val="13"/>
                <w:rFonts w:hint="default"/>
                <w:sz w:val="18"/>
                <w:szCs w:val="18"/>
                <w:lang w:val="en-US" w:bidi="ar"/>
              </w:rPr>
              <w:t>1、根据周边调研报告，拟定项目的品类业态规划及业态比例；</w:t>
            </w:r>
          </w:p>
          <w:p>
            <w:pPr>
              <w:widowControl/>
              <w:jc w:val="left"/>
              <w:textAlignment w:val="center"/>
              <w:rPr>
                <w:rFonts w:hint="eastAsia" w:ascii="微软雅黑" w:hAnsi="微软雅黑" w:eastAsia="微软雅黑" w:cs="微软雅黑"/>
                <w:color w:val="000000"/>
                <w:sz w:val="18"/>
                <w:szCs w:val="18"/>
              </w:rPr>
            </w:pPr>
            <w:r>
              <w:rPr>
                <w:rStyle w:val="13"/>
                <w:rFonts w:hint="default"/>
                <w:sz w:val="18"/>
                <w:szCs w:val="18"/>
                <w:lang w:val="en-US" w:bidi="ar"/>
              </w:rPr>
              <w:t>2、深度走访各业态品牌客户，对业态意向品牌进行评估分析，拟定品牌意向调研报告；</w:t>
            </w:r>
          </w:p>
        </w:tc>
        <w:tc>
          <w:tcPr>
            <w:tcW w:w="850"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color w:val="000000"/>
                <w:sz w:val="18"/>
                <w:szCs w:val="18"/>
              </w:rPr>
            </w:pP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10</w:t>
            </w:r>
          </w:p>
        </w:tc>
      </w:tr>
      <w:tr>
        <w:tblPrEx>
          <w:tblCellMar>
            <w:top w:w="15" w:type="dxa"/>
            <w:left w:w="15" w:type="dxa"/>
            <w:bottom w:w="15" w:type="dxa"/>
            <w:right w:w="15" w:type="dxa"/>
          </w:tblCellMar>
        </w:tblPrEx>
        <w:trPr>
          <w:trHeight w:val="573" w:hRule="atLeast"/>
        </w:trPr>
        <w:tc>
          <w:tcPr>
            <w:tcW w:w="601" w:type="dxa"/>
            <w:tcBorders>
              <w:top w:val="single" w:color="808080" w:sz="4" w:space="0"/>
              <w:left w:val="single" w:color="808080" w:sz="12"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4</w:t>
            </w:r>
          </w:p>
        </w:tc>
        <w:tc>
          <w:tcPr>
            <w:tcW w:w="1013"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收入测算表</w:t>
            </w: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根据业态和落位进行租金收入测算</w:t>
            </w:r>
          </w:p>
        </w:tc>
        <w:tc>
          <w:tcPr>
            <w:tcW w:w="850"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收入测算EXCEL</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2</w:t>
            </w:r>
          </w:p>
        </w:tc>
      </w:tr>
      <w:tr>
        <w:tblPrEx>
          <w:tblCellMar>
            <w:top w:w="15" w:type="dxa"/>
            <w:left w:w="15" w:type="dxa"/>
            <w:bottom w:w="15" w:type="dxa"/>
            <w:right w:w="15" w:type="dxa"/>
          </w:tblCellMar>
        </w:tblPrEx>
        <w:trPr>
          <w:trHeight w:val="358" w:hRule="atLeast"/>
        </w:trPr>
        <w:tc>
          <w:tcPr>
            <w:tcW w:w="7812" w:type="dxa"/>
            <w:gridSpan w:val="6"/>
            <w:tcBorders>
              <w:top w:val="single" w:color="808080" w:sz="4" w:space="0"/>
              <w:left w:val="single" w:color="808080" w:sz="12" w:space="0"/>
              <w:bottom w:val="single" w:color="808080" w:sz="4" w:space="0"/>
              <w:right w:val="single" w:color="808080" w:sz="4" w:space="0"/>
            </w:tcBorders>
            <w:shd w:val="clear" w:color="auto" w:fill="F8CBAD"/>
            <w:noWrap w:val="0"/>
            <w:vAlign w:val="center"/>
          </w:tcPr>
          <w:p>
            <w:pPr>
              <w:widowControl/>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val="en-US" w:bidi="ar"/>
              </w:rPr>
              <w:t>根据项目现场条件分析</w:t>
            </w:r>
          </w:p>
        </w:tc>
      </w:tr>
      <w:tr>
        <w:tblPrEx>
          <w:tblCellMar>
            <w:top w:w="15" w:type="dxa"/>
            <w:left w:w="15" w:type="dxa"/>
            <w:bottom w:w="15" w:type="dxa"/>
            <w:right w:w="15" w:type="dxa"/>
          </w:tblCellMar>
        </w:tblPrEx>
        <w:trPr>
          <w:trHeight w:val="560" w:hRule="atLeast"/>
        </w:trPr>
        <w:tc>
          <w:tcPr>
            <w:tcW w:w="601" w:type="dxa"/>
            <w:tcBorders>
              <w:top w:val="single" w:color="808080" w:sz="4" w:space="0"/>
              <w:left w:val="single" w:color="808080" w:sz="12"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1013" w:type="dxa"/>
            <w:vMerge w:val="restart"/>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项目招商分析及建议</w:t>
            </w: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color w:val="000000"/>
                <w:sz w:val="18"/>
                <w:szCs w:val="18"/>
              </w:rPr>
            </w:pPr>
            <w:r>
              <w:rPr>
                <w:rStyle w:val="17"/>
                <w:rFonts w:hint="default"/>
                <w:sz w:val="18"/>
                <w:szCs w:val="18"/>
                <w:lang w:val="en-US" w:bidi="ar"/>
              </w:rPr>
              <w:t>品牌落位规划报告</w:t>
            </w:r>
            <w:r>
              <w:rPr>
                <w:rStyle w:val="13"/>
                <w:rFonts w:hint="default"/>
                <w:sz w:val="18"/>
                <w:szCs w:val="18"/>
                <w:lang w:val="en-US" w:bidi="ar"/>
              </w:rPr>
              <w:br w:type="textWrapping"/>
            </w:r>
            <w:r>
              <w:rPr>
                <w:rStyle w:val="13"/>
                <w:rFonts w:hint="default"/>
                <w:sz w:val="18"/>
                <w:szCs w:val="18"/>
                <w:lang w:val="en-US" w:bidi="ar"/>
              </w:rPr>
              <w:t>结合招商策略及商铺规划情况，拟定品牌落位规划报告。</w:t>
            </w:r>
          </w:p>
        </w:tc>
        <w:tc>
          <w:tcPr>
            <w:tcW w:w="850" w:type="dxa"/>
            <w:vMerge w:val="restart"/>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前期策划报告</w:t>
            </w:r>
            <w:r>
              <w:rPr>
                <w:rFonts w:hint="eastAsia" w:ascii="微软雅黑" w:hAnsi="微软雅黑" w:eastAsia="微软雅黑" w:cs="微软雅黑"/>
                <w:color w:val="000000"/>
                <w:kern w:val="0"/>
                <w:sz w:val="18"/>
                <w:szCs w:val="18"/>
                <w:lang w:val="en-US" w:eastAsia="zh-Hans" w:bidi="ar"/>
              </w:rPr>
              <w:t>PPT</w:t>
            </w:r>
            <w:r>
              <w:rPr>
                <w:rFonts w:hint="eastAsia" w:ascii="微软雅黑" w:hAnsi="微软雅黑" w:eastAsia="微软雅黑" w:cs="微软雅黑"/>
                <w:color w:val="000000"/>
                <w:kern w:val="0"/>
                <w:sz w:val="18"/>
                <w:szCs w:val="18"/>
                <w:lang w:val="en-US" w:bidi="ar"/>
              </w:rPr>
              <w:br w:type="textWrapping"/>
            </w:r>
            <w:r>
              <w:rPr>
                <w:rFonts w:hint="eastAsia" w:ascii="微软雅黑" w:hAnsi="微软雅黑" w:eastAsia="微软雅黑" w:cs="微软雅黑"/>
                <w:color w:val="000000"/>
                <w:kern w:val="0"/>
                <w:sz w:val="18"/>
                <w:szCs w:val="18"/>
                <w:lang w:val="en-US" w:bidi="ar"/>
              </w:rPr>
              <w:t>（终稿）</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2</w:t>
            </w:r>
          </w:p>
        </w:tc>
      </w:tr>
      <w:tr>
        <w:tblPrEx>
          <w:tblCellMar>
            <w:top w:w="15" w:type="dxa"/>
            <w:left w:w="15" w:type="dxa"/>
            <w:bottom w:w="15" w:type="dxa"/>
            <w:right w:w="15" w:type="dxa"/>
          </w:tblCellMar>
        </w:tblPrEx>
        <w:trPr>
          <w:trHeight w:val="1427" w:hRule="atLeast"/>
        </w:trPr>
        <w:tc>
          <w:tcPr>
            <w:tcW w:w="601" w:type="dxa"/>
            <w:tcBorders>
              <w:top w:val="single" w:color="808080" w:sz="4" w:space="0"/>
              <w:left w:val="single" w:color="808080" w:sz="12"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2</w:t>
            </w:r>
          </w:p>
        </w:tc>
        <w:tc>
          <w:tcPr>
            <w:tcW w:w="1013"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color w:val="000000"/>
                <w:sz w:val="18"/>
                <w:szCs w:val="18"/>
              </w:rPr>
            </w:pP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Style w:val="13"/>
                <w:rFonts w:hint="default"/>
                <w:sz w:val="18"/>
                <w:szCs w:val="18"/>
                <w:lang w:val="en-US" w:bidi="ar"/>
              </w:rPr>
            </w:pPr>
            <w:r>
              <w:rPr>
                <w:rStyle w:val="17"/>
                <w:rFonts w:hint="default"/>
                <w:sz w:val="18"/>
                <w:szCs w:val="18"/>
                <w:lang w:val="en-US" w:bidi="ar"/>
              </w:rPr>
              <w:t>动线设计</w:t>
            </w:r>
            <w:r>
              <w:rPr>
                <w:rStyle w:val="13"/>
                <w:rFonts w:hint="default"/>
                <w:sz w:val="18"/>
                <w:szCs w:val="18"/>
                <w:lang w:val="en-US" w:bidi="ar"/>
              </w:rPr>
              <w:br w:type="textWrapping"/>
            </w:r>
            <w:r>
              <w:rPr>
                <w:rStyle w:val="13"/>
                <w:rFonts w:hint="default"/>
                <w:sz w:val="18"/>
                <w:szCs w:val="18"/>
                <w:lang w:val="en-US" w:bidi="ar"/>
              </w:rPr>
              <w:t>1</w:t>
            </w:r>
            <w:r>
              <w:rPr>
                <w:rStyle w:val="13"/>
                <w:rFonts w:hint="default"/>
                <w:sz w:val="18"/>
                <w:szCs w:val="18"/>
                <w:lang w:bidi="ar"/>
              </w:rPr>
              <w:t>.</w:t>
            </w:r>
            <w:r>
              <w:rPr>
                <w:rStyle w:val="13"/>
                <w:rFonts w:hint="default"/>
                <w:sz w:val="18"/>
                <w:szCs w:val="18"/>
                <w:lang w:val="en-US" w:bidi="ar"/>
              </w:rPr>
              <w:t>根据项目设计规划，结合品牌业态及落位规划，对人流动线、物流动线、中庭空间、推广展示活动区位置、休闲休息区位置等进行深化，拟定商场动线规划，合理增加客流停留时间；</w:t>
            </w:r>
          </w:p>
          <w:p>
            <w:pPr>
              <w:widowControl/>
              <w:jc w:val="left"/>
              <w:textAlignment w:val="center"/>
              <w:rPr>
                <w:rFonts w:hint="eastAsia" w:ascii="微软雅黑" w:hAnsi="微软雅黑" w:eastAsia="微软雅黑" w:cs="微软雅黑"/>
                <w:color w:val="000000"/>
                <w:sz w:val="18"/>
                <w:szCs w:val="18"/>
              </w:rPr>
            </w:pPr>
            <w:r>
              <w:rPr>
                <w:rStyle w:val="13"/>
                <w:rFonts w:hint="default"/>
                <w:sz w:val="18"/>
                <w:szCs w:val="18"/>
                <w:lang w:val="en-US" w:bidi="ar"/>
              </w:rPr>
              <w:t>2</w:t>
            </w:r>
            <w:r>
              <w:rPr>
                <w:rStyle w:val="13"/>
                <w:rFonts w:hint="default"/>
                <w:sz w:val="18"/>
                <w:szCs w:val="18"/>
                <w:lang w:bidi="ar"/>
              </w:rPr>
              <w:t>.</w:t>
            </w:r>
            <w:r>
              <w:rPr>
                <w:rStyle w:val="13"/>
                <w:rFonts w:hint="default"/>
                <w:sz w:val="18"/>
                <w:szCs w:val="18"/>
                <w:lang w:val="en-US" w:bidi="ar"/>
              </w:rPr>
              <w:t>规划商业空间区域命名。</w:t>
            </w:r>
          </w:p>
        </w:tc>
        <w:tc>
          <w:tcPr>
            <w:tcW w:w="850" w:type="dxa"/>
            <w:vMerge w:val="continue"/>
            <w:tcBorders>
              <w:top w:val="single" w:color="808080" w:sz="4" w:space="0"/>
              <w:left w:val="single" w:color="808080" w:sz="4" w:space="0"/>
              <w:bottom w:val="single" w:color="808080" w:sz="4" w:space="0"/>
              <w:right w:val="single" w:color="808080" w:sz="4" w:space="0"/>
            </w:tcBorders>
            <w:noWrap w:val="0"/>
            <w:vAlign w:val="center"/>
          </w:tcPr>
          <w:p>
            <w:pPr>
              <w:jc w:val="center"/>
              <w:rPr>
                <w:rFonts w:hint="eastAsia" w:ascii="微软雅黑" w:hAnsi="微软雅黑" w:eastAsia="微软雅黑" w:cs="微软雅黑"/>
                <w:color w:val="000000"/>
                <w:sz w:val="18"/>
                <w:szCs w:val="18"/>
              </w:rPr>
            </w:pP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2</w:t>
            </w:r>
          </w:p>
        </w:tc>
      </w:tr>
      <w:tr>
        <w:tblPrEx>
          <w:tblCellMar>
            <w:top w:w="15" w:type="dxa"/>
            <w:left w:w="15" w:type="dxa"/>
            <w:bottom w:w="15" w:type="dxa"/>
            <w:right w:w="15" w:type="dxa"/>
          </w:tblCellMar>
        </w:tblPrEx>
        <w:trPr>
          <w:trHeight w:val="324" w:hRule="atLeast"/>
        </w:trPr>
        <w:tc>
          <w:tcPr>
            <w:tcW w:w="601" w:type="dxa"/>
            <w:tcBorders>
              <w:top w:val="single" w:color="808080" w:sz="4" w:space="0"/>
              <w:left w:val="single" w:color="808080" w:sz="12"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3</w:t>
            </w:r>
          </w:p>
        </w:tc>
        <w:tc>
          <w:tcPr>
            <w:tcW w:w="1013"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收入测算表</w:t>
            </w: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根据业态和落位进行租金收入测算</w:t>
            </w:r>
          </w:p>
        </w:tc>
        <w:tc>
          <w:tcPr>
            <w:tcW w:w="850"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收入测算EXCEL</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2</w:t>
            </w:r>
          </w:p>
        </w:tc>
      </w:tr>
      <w:tr>
        <w:tblPrEx>
          <w:tblCellMar>
            <w:top w:w="15" w:type="dxa"/>
            <w:left w:w="15" w:type="dxa"/>
            <w:bottom w:w="15" w:type="dxa"/>
            <w:right w:w="15" w:type="dxa"/>
          </w:tblCellMar>
        </w:tblPrEx>
        <w:trPr>
          <w:trHeight w:val="589" w:hRule="atLeast"/>
        </w:trPr>
        <w:tc>
          <w:tcPr>
            <w:tcW w:w="601" w:type="dxa"/>
            <w:tcBorders>
              <w:top w:val="single" w:color="808080" w:sz="4" w:space="0"/>
              <w:left w:val="single" w:color="808080" w:sz="12"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4</w:t>
            </w:r>
          </w:p>
        </w:tc>
        <w:tc>
          <w:tcPr>
            <w:tcW w:w="1013"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多经以及其他可能收入预估</w:t>
            </w:r>
          </w:p>
        </w:tc>
        <w:tc>
          <w:tcPr>
            <w:tcW w:w="4355" w:type="dxa"/>
            <w:tcBorders>
              <w:top w:val="single" w:color="808080" w:sz="4" w:space="0"/>
              <w:left w:val="single" w:color="808080" w:sz="4" w:space="0"/>
              <w:bottom w:val="single" w:color="808080" w:sz="4" w:space="0"/>
              <w:right w:val="single" w:color="808080" w:sz="4" w:space="0"/>
            </w:tcBorders>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根据多经点位的可能租值进行测算</w:t>
            </w:r>
          </w:p>
        </w:tc>
        <w:tc>
          <w:tcPr>
            <w:tcW w:w="850"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点位展示+建议售价PPT</w:t>
            </w:r>
          </w:p>
        </w:tc>
        <w:tc>
          <w:tcPr>
            <w:tcW w:w="419"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1</w:t>
            </w:r>
          </w:p>
        </w:tc>
        <w:tc>
          <w:tcPr>
            <w:tcW w:w="574" w:type="dxa"/>
            <w:tcBorders>
              <w:top w:val="single" w:color="808080" w:sz="4" w:space="0"/>
              <w:left w:val="single" w:color="808080" w:sz="4" w:space="0"/>
              <w:bottom w:val="single" w:color="808080" w:sz="4" w:space="0"/>
              <w:right w:val="single" w:color="808080" w:sz="4" w:space="0"/>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bidi="ar"/>
              </w:rPr>
              <w:t>2</w:t>
            </w:r>
          </w:p>
        </w:tc>
      </w:tr>
    </w:tbl>
    <w:p>
      <w:pPr>
        <w:adjustRightInd w:val="0"/>
        <w:snapToGrid w:val="0"/>
        <w:spacing w:before="156" w:beforeLines="50"/>
        <w:ind w:left="0"/>
        <w:rPr>
          <w:rFonts w:hint="eastAsia" w:ascii="宋体" w:hAnsi="宋体"/>
          <w:szCs w:val="21"/>
        </w:rPr>
      </w:pPr>
    </w:p>
    <w:p>
      <w:pP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br w:type="page"/>
      </w:r>
    </w:p>
    <w:p>
      <w:pPr>
        <w:jc w:val="center"/>
        <w:rPr>
          <w:rFonts w:ascii="仿宋_GB2312" w:hAnsi="宋体" w:eastAsia="仿宋_GB2312" w:cs="宋体"/>
          <w:b/>
          <w:bCs/>
          <w:sz w:val="32"/>
          <w:szCs w:val="32"/>
        </w:rPr>
      </w:pPr>
      <w:r>
        <w:rPr>
          <w:rFonts w:hint="eastAsia" w:ascii="仿宋_GB2312" w:hAnsi="宋体" w:eastAsia="仿宋_GB2312" w:cs="Times New Roman"/>
          <w:b/>
          <w:bCs/>
          <w:sz w:val="32"/>
          <w:szCs w:val="32"/>
        </w:rPr>
        <w:t>廉洁协议</w:t>
      </w:r>
    </w:p>
    <w:p>
      <w:pPr>
        <w:rPr>
          <w:rFonts w:ascii="仿宋_GB2312" w:hAnsi="宋体" w:eastAsia="仿宋_GB2312" w:cs="Times New Roman"/>
          <w:sz w:val="28"/>
          <w:szCs w:val="28"/>
        </w:rPr>
      </w:pPr>
      <w:r>
        <w:rPr>
          <w:rFonts w:hint="eastAsia" w:ascii="仿宋_GB2312" w:hAnsi="宋体" w:eastAsia="仿宋_GB2312" w:cs="Times New Roman"/>
          <w:sz w:val="28"/>
          <w:szCs w:val="28"/>
        </w:rPr>
        <w:t>甲方：广州市城壹房地产</w:t>
      </w:r>
      <w:r>
        <w:rPr>
          <w:rFonts w:hint="eastAsia" w:ascii="仿宋_GB2312" w:hAnsi="宋体" w:eastAsia="仿宋_GB2312" w:cs="Times New Roman"/>
          <w:sz w:val="28"/>
          <w:szCs w:val="28"/>
          <w:lang w:val="en-US" w:eastAsia="zh-CN"/>
        </w:rPr>
        <w:t>顾问</w:t>
      </w:r>
      <w:r>
        <w:rPr>
          <w:rFonts w:hint="eastAsia" w:ascii="仿宋_GB2312" w:hAnsi="宋体" w:eastAsia="仿宋_GB2312" w:cs="Times New Roman"/>
          <w:sz w:val="28"/>
          <w:szCs w:val="28"/>
        </w:rPr>
        <w:t>有限公司</w:t>
      </w:r>
    </w:p>
    <w:p>
      <w:pPr>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rPr>
        <w:t>乙方：</w:t>
      </w:r>
      <w:r>
        <w:rPr>
          <w:rFonts w:hint="eastAsia" w:ascii="仿宋_GB2312" w:hAnsi="宋体" w:eastAsia="仿宋_GB2312" w:cs="Times New Roman"/>
          <w:sz w:val="28"/>
          <w:szCs w:val="28"/>
          <w:lang w:val="en-US" w:eastAsia="zh-CN"/>
        </w:rPr>
        <w:t xml:space="preserve"> </w:t>
      </w:r>
    </w:p>
    <w:p>
      <w:pPr>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为保障甲方和乙方在业务往来中的合法权益，促进企业党风建设、廉洁从业，预防商业贿赂和不正当竞争，按照《中华人民共和国</w:t>
      </w:r>
      <w:r>
        <w:rPr>
          <w:rFonts w:hint="eastAsia" w:ascii="仿宋_GB2312" w:hAnsi="宋体" w:eastAsia="仿宋_GB2312" w:cs="Times New Roman"/>
          <w:sz w:val="28"/>
          <w:szCs w:val="28"/>
          <w:lang w:val="en-US" w:eastAsia="zh-CN"/>
        </w:rPr>
        <w:t>民法典</w:t>
      </w:r>
      <w:r>
        <w:rPr>
          <w:rFonts w:hint="eastAsia" w:ascii="仿宋_GB2312" w:hAnsi="宋体" w:eastAsia="仿宋_GB2312" w:cs="Times New Roman"/>
          <w:sz w:val="28"/>
          <w:szCs w:val="28"/>
        </w:rPr>
        <w:t>》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rPr>
          <w:rFonts w:ascii="仿宋_GB2312" w:hAnsi="宋体" w:eastAsia="仿宋_GB2312" w:cs="Times New Roman"/>
          <w:sz w:val="28"/>
          <w:szCs w:val="28"/>
        </w:rPr>
      </w:pPr>
      <w:r>
        <w:rPr>
          <w:rFonts w:hint="eastAsia" w:ascii="仿宋_GB2312" w:hAnsi="宋体" w:eastAsia="仿宋_GB2312" w:cs="Times New Roman"/>
          <w:sz w:val="28"/>
          <w:szCs w:val="28"/>
        </w:rPr>
        <w:t>第一条 甲乙双方责任</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（一）严格遵守国家法律法规和廉洁从业规定以及相关行业行风建设的纪律和规定。</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（二）严格执行合同，自觉按合同办事。</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（三）双方的业务活动必须坚持公开、公平、公正、诚信、透明的原则（法律法规另有规定或双方约定除外），不得损害国家和企业利益。</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（四）发现对方在业务活动中有违反廉洁从业规定或本协议约定的行为，应及时提醒和纠正对方。</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（五）发现对方在业务活动中有严重违反廉洁从业规定的行为，有权向对方主管部门或有关部门举报。</w:t>
      </w:r>
    </w:p>
    <w:p>
      <w:pPr>
        <w:rPr>
          <w:rFonts w:ascii="仿宋_GB2312" w:hAnsi="宋体" w:eastAsia="仿宋_GB2312" w:cs="Times New Roman"/>
          <w:sz w:val="28"/>
          <w:szCs w:val="28"/>
        </w:rPr>
      </w:pPr>
      <w:r>
        <w:rPr>
          <w:rFonts w:hint="eastAsia" w:ascii="仿宋_GB2312" w:hAnsi="宋体" w:eastAsia="仿宋_GB2312" w:cs="Times New Roman"/>
          <w:sz w:val="28"/>
          <w:szCs w:val="28"/>
        </w:rPr>
        <w:t>第二条  甲方应遵守下列条款</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（一）甲方、甲方工作人员及其亲属不得以暗示或任何形式向乙方索要或收受回扣、提成、现金、有价证券、支付凭证和贵重礼品等财物。</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（二）甲方及其工作人员不得参加乙方安排的宴请（工作餐除外）、娱乐活动、高档消费；不得接受乙方向甲方及其工作人员提供的通信工具、交通工具和高档办公用品等物品。</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（三）甲方及其工作人员不得以任何理由要求、暗示或接受乙方和相关单位为其在度假、出国（出境）旅游、婚丧嫁娶、住房装修、配偶子女等亲属工作安排等方面提供方便。</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（四）甲方工作人员不得在乙方报销应由甲方或个人支付的任何费用。</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（五）甲方工作人员及其配偶、子女及其他特定关系人不得以个人借用（包含甲方借给乙方或乙方借给甲方）等名义与乙方或乙方工作人员发生现金、房屋、交通工具和贵重物品往来。</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（六）如果乙方向甲方工作人员提供第三条第（一）至（五）款所指的内容，甲方工作人员应拒绝对方；对于无法拒绝的，应及时向甲方纪检部门举报。</w:t>
      </w:r>
    </w:p>
    <w:p>
      <w:pPr>
        <w:rPr>
          <w:rFonts w:ascii="仿宋_GB2312" w:hAnsi="宋体" w:eastAsia="仿宋_GB2312" w:cs="Times New Roman"/>
          <w:sz w:val="28"/>
          <w:szCs w:val="28"/>
        </w:rPr>
      </w:pPr>
      <w:r>
        <w:rPr>
          <w:rFonts w:hint="eastAsia" w:ascii="仿宋_GB2312" w:hAnsi="宋体" w:eastAsia="仿宋_GB2312" w:cs="Times New Roman"/>
          <w:sz w:val="28"/>
          <w:szCs w:val="28"/>
        </w:rPr>
        <w:t>第三条 乙方应遵守下列条款</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（一）乙方不得以任何形式向甲方及其工作人员馈赠现金、有价证券、支付凭证和贵重礼品等财物。</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（二）乙方不得以任何理由邀请甲方工作人员参加有可能影响业务活动的宴请及娱乐活动；不得为甲方及其工作人员提供的通信工具、交通工具和高档办公用品等物品。</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（三）乙方不得为甲方工作人员在度假、出国（出境）旅游、婚丧嫁娶、住房装修、配偶子女等亲属工作安排等方面提供方便。</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（四）乙方不得以任何名义为甲方工作人员及其亲属支付应由个人支付的各种费用。</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（五）乙方或乙方工作人员不得以借用（包含甲方借给乙方或乙方借给甲方）等名义与甲方工作人员及其配偶、子女及其他特定关系人发生现金、房屋、交通工具和贵重物品往来。</w:t>
      </w:r>
    </w:p>
    <w:p>
      <w:pPr>
        <w:ind w:left="840" w:hanging="840" w:hangingChars="300"/>
        <w:rPr>
          <w:rFonts w:ascii="仿宋_GB2312" w:hAnsi="宋体" w:eastAsia="仿宋_GB2312" w:cs="Times New Roman"/>
          <w:sz w:val="28"/>
          <w:szCs w:val="28"/>
        </w:rPr>
      </w:pPr>
      <w:r>
        <w:rPr>
          <w:rFonts w:hint="eastAsia" w:ascii="仿宋_GB2312" w:hAnsi="宋体" w:eastAsia="仿宋_GB2312" w:cs="Times New Roman"/>
          <w:sz w:val="28"/>
          <w:szCs w:val="28"/>
        </w:rPr>
        <w:t>（六）甲方工作人员主动向乙方索要或要求乙方安排和提供第三条（一）至（五）款所指的内容，乙方应予以拒绝，并向甲方纪检部门及时举报。</w:t>
      </w:r>
    </w:p>
    <w:p>
      <w:pPr>
        <w:rPr>
          <w:rFonts w:ascii="仿宋_GB2312" w:hAnsi="宋体" w:eastAsia="仿宋_GB2312" w:cs="Times New Roman"/>
          <w:sz w:val="28"/>
          <w:szCs w:val="28"/>
        </w:rPr>
      </w:pPr>
      <w:r>
        <w:rPr>
          <w:rFonts w:hint="eastAsia" w:ascii="仿宋_GB2312" w:hAnsi="宋体" w:eastAsia="仿宋_GB2312" w:cs="Times New Roman"/>
          <w:sz w:val="28"/>
          <w:szCs w:val="28"/>
        </w:rPr>
        <w:t>第四条 违约责任</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rPr>
          <w:rFonts w:ascii="仿宋_GB2312" w:hAnsi="宋体" w:eastAsia="仿宋_GB2312" w:cs="Times New Roman"/>
          <w:sz w:val="28"/>
          <w:szCs w:val="28"/>
        </w:rPr>
      </w:pPr>
      <w:r>
        <w:rPr>
          <w:rFonts w:hint="eastAsia" w:ascii="仿宋_GB2312" w:hAnsi="宋体" w:eastAsia="仿宋_GB2312" w:cs="Times New Roman"/>
          <w:sz w:val="28"/>
          <w:szCs w:val="28"/>
        </w:rPr>
        <w:t>第五条 如甲乙双方有违反国家法律法规和廉洁从业规定的其他行为，参照本协议约定执行。</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第六条 本协议经双方盖章后生效，一式</w:t>
      </w:r>
      <w:r>
        <w:rPr>
          <w:rFonts w:hint="eastAsia" w:ascii="仿宋_GB2312" w:hAnsi="宋体" w:eastAsia="仿宋_GB2312" w:cs="Times New Roman"/>
          <w:sz w:val="28"/>
          <w:szCs w:val="28"/>
          <w:lang w:val="en-US" w:eastAsia="zh-CN"/>
        </w:rPr>
        <w:t>陆</w:t>
      </w:r>
      <w:r>
        <w:rPr>
          <w:rFonts w:hint="eastAsia" w:ascii="仿宋_GB2312" w:hAnsi="宋体" w:eastAsia="仿宋_GB2312" w:cs="Times New Roman"/>
          <w:sz w:val="28"/>
          <w:szCs w:val="28"/>
        </w:rPr>
        <w:t>份，甲方执</w:t>
      </w:r>
      <w:r>
        <w:rPr>
          <w:rFonts w:hint="eastAsia" w:ascii="仿宋_GB2312" w:hAnsi="宋体" w:eastAsia="仿宋_GB2312" w:cs="Times New Roman"/>
          <w:sz w:val="28"/>
          <w:szCs w:val="28"/>
          <w:lang w:val="en-US" w:eastAsia="zh-CN"/>
        </w:rPr>
        <w:t>叁</w:t>
      </w:r>
      <w:r>
        <w:rPr>
          <w:rFonts w:hint="eastAsia" w:ascii="仿宋_GB2312" w:hAnsi="宋体" w:eastAsia="仿宋_GB2312" w:cs="Times New Roman"/>
          <w:sz w:val="28"/>
          <w:szCs w:val="28"/>
        </w:rPr>
        <w:t>份，乙方执</w:t>
      </w:r>
      <w:r>
        <w:rPr>
          <w:rFonts w:hint="eastAsia" w:ascii="仿宋_GB2312" w:hAnsi="宋体" w:eastAsia="仿宋_GB2312" w:cs="Times New Roman"/>
          <w:sz w:val="28"/>
          <w:szCs w:val="28"/>
          <w:lang w:val="en-US" w:eastAsia="zh-CN"/>
        </w:rPr>
        <w:t>叁</w:t>
      </w:r>
      <w:bookmarkStart w:id="14" w:name="_GoBack"/>
      <w:bookmarkEnd w:id="14"/>
      <w:r>
        <w:rPr>
          <w:rFonts w:hint="eastAsia" w:ascii="仿宋_GB2312" w:hAnsi="宋体" w:eastAsia="仿宋_GB2312" w:cs="Times New Roman"/>
          <w:sz w:val="28"/>
          <w:szCs w:val="28"/>
        </w:rPr>
        <w:t>份，具有同等法律效力。</w:t>
      </w:r>
    </w:p>
    <w:p>
      <w:pPr>
        <w:rPr>
          <w:rFonts w:ascii="仿宋_GB2312" w:hAnsi="宋体" w:eastAsia="仿宋_GB2312" w:cs="Times New Roman"/>
          <w:sz w:val="28"/>
          <w:szCs w:val="28"/>
        </w:rPr>
      </w:pPr>
      <w:r>
        <w:rPr>
          <w:rFonts w:hint="eastAsia" w:ascii="仿宋_GB2312" w:hAnsi="宋体" w:eastAsia="仿宋_GB2312" w:cs="Times New Roman"/>
          <w:sz w:val="28"/>
          <w:szCs w:val="28"/>
        </w:rPr>
        <w:t>甲方：                          乙方：</w:t>
      </w:r>
    </w:p>
    <w:p>
      <w:pPr>
        <w:spacing w:after="200" w:line="360" w:lineRule="auto"/>
        <w:rPr>
          <w:rFonts w:ascii="微软雅黑" w:hAnsi="微软雅黑" w:eastAsia="微软雅黑" w:cs="Times New Roman"/>
          <w:b/>
          <w:szCs w:val="20"/>
        </w:rPr>
      </w:pPr>
      <w:r>
        <w:rPr>
          <w:rFonts w:hint="eastAsia" w:ascii="仿宋_GB2312" w:hAnsi="宋体" w:eastAsia="仿宋_GB2312" w:cs="Times New Roman"/>
          <w:sz w:val="28"/>
          <w:szCs w:val="28"/>
        </w:rPr>
        <w:t>日期：                          日期:</w:t>
      </w:r>
    </w:p>
    <w:p>
      <w:pPr>
        <w:adjustRightInd w:val="0"/>
        <w:snapToGrid w:val="0"/>
        <w:spacing w:before="156" w:beforeLines="50"/>
        <w:ind w:left="0"/>
        <w:rPr>
          <w:rFonts w:hint="eastAsia" w:ascii="宋体" w:hAnsi="宋体"/>
          <w:szCs w:val="21"/>
        </w:rPr>
      </w:pPr>
    </w:p>
    <w:p>
      <w:pPr>
        <w:rPr>
          <w:rFonts w:ascii="Calibri" w:hAnsi="Calibri" w:eastAsia="宋体" w:cs="Times New Roman"/>
          <w:szCs w:val="24"/>
        </w:rPr>
      </w:pPr>
      <w:r>
        <w:rPr>
          <w:rFonts w:hint="eastAsia" w:ascii="微软雅黑" w:hAnsi="微软雅黑" w:eastAsia="微软雅黑" w:cs="Arial"/>
          <w:b/>
          <w:bCs/>
          <w:szCs w:val="21"/>
        </w:rPr>
        <w:t xml:space="preserve">     </w:t>
      </w:r>
      <w:r>
        <w:rPr>
          <w:rFonts w:ascii="Calibri" w:hAnsi="Calibri" w:eastAsia="宋体" w:cs="Times New Roman"/>
          <w:szCs w:val="24"/>
        </w:rPr>
        <w:br w:type="page"/>
      </w:r>
    </w:p>
    <w:p>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lang w:val="en-US" w:eastAsia="zh-CN"/>
        </w:rPr>
        <w:t>广州塔广场商铺落位论证工作方案服务采购项目</w:t>
      </w:r>
    </w:p>
    <w:p>
      <w:pPr>
        <w:jc w:val="center"/>
        <w:rPr>
          <w:rFonts w:ascii="仿宋_GB2312" w:hAnsi="Calibri" w:eastAsia="仿宋_GB2312" w:cs="Times New Roman"/>
          <w:b/>
          <w:sz w:val="52"/>
          <w:szCs w:val="52"/>
          <w:u w:val="single"/>
        </w:rPr>
      </w:pPr>
    </w:p>
    <w:p>
      <w:pPr>
        <w:jc w:val="center"/>
        <w:rPr>
          <w:rFonts w:ascii="仿宋_GB2312" w:hAnsi="Calibri" w:eastAsia="仿宋_GB2312" w:cs="Times New Roman"/>
          <w:sz w:val="52"/>
          <w:szCs w:val="52"/>
          <w:u w:val="single"/>
        </w:rPr>
      </w:pPr>
    </w:p>
    <w:p>
      <w:pPr>
        <w:jc w:val="center"/>
        <w:rPr>
          <w:rFonts w:ascii="仿宋_GB2312" w:hAnsi="Calibri" w:eastAsia="仿宋_GB2312" w:cs="Times New Roman"/>
          <w:sz w:val="52"/>
          <w:szCs w:val="52"/>
          <w:u w:val="single"/>
        </w:rPr>
      </w:pPr>
    </w:p>
    <w:p>
      <w:pPr>
        <w:rPr>
          <w:rFonts w:ascii="仿宋_GB2312" w:hAnsi="Calibri" w:eastAsia="仿宋_GB2312" w:cs="Times New Roman"/>
          <w:sz w:val="52"/>
          <w:szCs w:val="52"/>
          <w:u w:val="single"/>
        </w:rPr>
      </w:pPr>
    </w:p>
    <w:p>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p>
    <w:p>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年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月</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日</w:t>
      </w:r>
    </w:p>
    <w:p>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w:t>
      </w:r>
      <w:r>
        <w:rPr>
          <w:rFonts w:hint="eastAsia" w:ascii="仿宋_GB2312" w:hAnsi="宋体" w:eastAsia="仿宋_GB2312" w:cs="宋体"/>
          <w:b/>
          <w:bCs/>
          <w:kern w:val="0"/>
          <w:sz w:val="24"/>
          <w:szCs w:val="24"/>
          <w:lang w:val="en-US" w:eastAsia="zh-CN"/>
        </w:rPr>
        <w:t>顾问</w:t>
      </w:r>
      <w:r>
        <w:rPr>
          <w:rFonts w:hint="eastAsia" w:ascii="仿宋_GB2312" w:hAnsi="宋体" w:eastAsia="仿宋_GB2312" w:cs="宋体"/>
          <w:b/>
          <w:bCs/>
          <w:kern w:val="0"/>
          <w:sz w:val="24"/>
          <w:szCs w:val="24"/>
        </w:rPr>
        <w:t>有限公司</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pPr>
        <w:numPr>
          <w:ilvl w:val="0"/>
          <w:numId w:val="24"/>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pPr>
        <w:numPr>
          <w:ilvl w:val="0"/>
          <w:numId w:val="24"/>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24"/>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pPr>
        <w:numPr>
          <w:ilvl w:val="0"/>
          <w:numId w:val="24"/>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pPr>
        <w:numPr>
          <w:ilvl w:val="0"/>
          <w:numId w:val="24"/>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24"/>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pPr>
        <w:numPr>
          <w:ilvl w:val="0"/>
          <w:numId w:val="24"/>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pPr>
        <w:keepNext/>
        <w:keepLines/>
        <w:spacing w:before="260" w:after="260" w:line="400" w:lineRule="exact"/>
        <w:outlineLvl w:val="1"/>
        <w:rPr>
          <w:rFonts w:ascii="仿宋_GB2312" w:hAnsi="宋体" w:eastAsia="仿宋_GB2312" w:cs="Times New Roman"/>
          <w:bCs/>
          <w:szCs w:val="21"/>
        </w:rPr>
      </w:pPr>
      <w:bookmarkStart w:id="9" w:name="_Toc234432974"/>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Calibri" w:eastAsia="仿宋_GB2312" w:cs="Times New Roman"/>
          <w:szCs w:val="24"/>
        </w:rPr>
      </w:pPr>
    </w:p>
    <w:p>
      <w:pPr>
        <w:keepNext/>
        <w:keepLines/>
        <w:spacing w:before="260" w:after="20" w:line="400" w:lineRule="exact"/>
        <w:outlineLvl w:val="1"/>
        <w:rPr>
          <w:rFonts w:ascii="仿宋_GB2312" w:hAnsi="Arial" w:eastAsia="仿宋_GB2312" w:cs="Times New Roman"/>
          <w:b/>
          <w:bCs/>
          <w:sz w:val="28"/>
          <w:szCs w:val="28"/>
        </w:rPr>
      </w:pPr>
      <w:bookmarkStart w:id="10" w:name="_Toc334797769"/>
      <w:r>
        <w:rPr>
          <w:rFonts w:hint="eastAsia" w:ascii="仿宋_GB2312" w:hAnsi="Arial" w:eastAsia="仿宋_GB2312" w:cs="Times New Roman"/>
          <w:bCs/>
          <w:sz w:val="24"/>
          <w:szCs w:val="24"/>
        </w:rPr>
        <w:t>附件3</w:t>
      </w:r>
    </w:p>
    <w:bookmarkEnd w:id="9"/>
    <w:bookmarkEnd w:id="10"/>
    <w:p>
      <w:pPr>
        <w:keepNext/>
        <w:keepLines/>
        <w:spacing w:before="260" w:after="260" w:line="400" w:lineRule="exact"/>
        <w:jc w:val="center"/>
        <w:outlineLvl w:val="1"/>
        <w:rPr>
          <w:rFonts w:ascii="仿宋_GB2312" w:hAnsi="宋体" w:eastAsia="仿宋_GB2312" w:cs="宋体"/>
          <w:sz w:val="32"/>
          <w:szCs w:val="32"/>
        </w:rPr>
      </w:pPr>
      <w:bookmarkStart w:id="11" w:name="_Toc334797770"/>
      <w:bookmarkStart w:id="12" w:name="_Toc334797771"/>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致: 广州市城壹房地产</w:t>
      </w:r>
      <w:r>
        <w:rPr>
          <w:rFonts w:hint="eastAsia" w:ascii="仿宋_GB2312" w:hAnsi="宋体" w:eastAsia="仿宋_GB2312" w:cs="宋体"/>
          <w:bCs/>
          <w:kern w:val="0"/>
          <w:sz w:val="24"/>
          <w:szCs w:val="21"/>
          <w:lang w:val="en-US" w:eastAsia="zh-CN"/>
        </w:rPr>
        <w:t>顾问</w:t>
      </w:r>
      <w:r>
        <w:rPr>
          <w:rFonts w:hint="eastAsia" w:ascii="仿宋_GB2312" w:hAnsi="宋体" w:eastAsia="仿宋_GB2312" w:cs="宋体"/>
          <w:bCs/>
          <w:kern w:val="0"/>
          <w:sz w:val="24"/>
          <w:szCs w:val="21"/>
        </w:rPr>
        <w:t>有限公司</w:t>
      </w:r>
      <w:r>
        <w:rPr>
          <w:rFonts w:hint="eastAsia" w:ascii="仿宋_GB2312" w:hAnsi="宋体" w:eastAsia="仿宋_GB2312" w:cs="Times New Roman"/>
          <w:szCs w:val="21"/>
        </w:rPr>
        <w:tab/>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1"/>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r>
              <w:rPr>
                <w:rFonts w:hint="eastAsia" w:ascii="Calibri" w:hAnsi="Calibri" w:eastAsia="宋体" w:cs="Times New Roman"/>
                <w:szCs w:val="24"/>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增值税专用发票税率（%）</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bl>
    <w:p>
      <w:pPr>
        <w:spacing w:line="400" w:lineRule="exact"/>
        <w:rPr>
          <w:rFonts w:ascii="仿宋_GB2312" w:hAnsi="宋体" w:eastAsia="仿宋_GB2312" w:cs="Times New Roman"/>
          <w:bCs/>
          <w:szCs w:val="21"/>
        </w:rPr>
      </w:pPr>
    </w:p>
    <w:p>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pPr>
        <w:spacing w:line="400" w:lineRule="exact"/>
        <w:rPr>
          <w:rFonts w:ascii="Calibri" w:hAnsi="Calibri" w:eastAsia="宋体" w:cs="Times New Roman"/>
          <w:szCs w:val="24"/>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bookmarkEnd w:id="12"/>
    <w:p>
      <w:pPr>
        <w:keepNext/>
        <w:keepLines/>
        <w:spacing w:before="260" w:after="260" w:line="400" w:lineRule="exact"/>
        <w:outlineLvl w:val="1"/>
        <w:rPr>
          <w:rFonts w:ascii="仿宋_GB2312" w:hAnsi="Arial" w:eastAsia="仿宋_GB2312" w:cs="Times New Roman"/>
          <w:bCs/>
          <w:sz w:val="24"/>
          <w:szCs w:val="32"/>
        </w:rPr>
      </w:pPr>
      <w:bookmarkStart w:id="13" w:name="_Toc334797774"/>
      <w:r>
        <w:rPr>
          <w:rFonts w:ascii="仿宋_GB2312" w:hAnsi="Arial" w:eastAsia="仿宋_GB2312" w:cs="Times New Roman"/>
          <w:b/>
          <w:bCs/>
          <w:sz w:val="32"/>
          <w:szCs w:val="32"/>
        </w:rPr>
        <w:br w:type="page"/>
      </w:r>
      <w:bookmarkEnd w:id="13"/>
      <w:r>
        <w:rPr>
          <w:rFonts w:hint="eastAsia" w:ascii="仿宋_GB2312" w:hAnsi="Arial" w:eastAsia="仿宋_GB2312" w:cs="Times New Roman"/>
          <w:bCs/>
          <w:sz w:val="24"/>
          <w:szCs w:val="24"/>
        </w:rPr>
        <w:t>附件5</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eastAsia="宋体" w:cs="Times New Roman"/>
          <w:sz w:val="24"/>
          <w:szCs w:val="24"/>
        </w:rPr>
      </w:pP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w:t>
      </w:r>
      <w:r>
        <w:rPr>
          <w:rFonts w:hint="eastAsia" w:ascii="仿宋_GB2312" w:hAnsi="宋体" w:eastAsia="仿宋_GB2312" w:cs="Times New Roman"/>
          <w:szCs w:val="21"/>
          <w:lang w:val="en-US" w:eastAsia="zh-CN"/>
        </w:rPr>
        <w:t>顾问</w:t>
      </w:r>
      <w:r>
        <w:rPr>
          <w:rFonts w:hint="eastAsia" w:ascii="仿宋_GB2312" w:hAnsi="宋体" w:eastAsia="仿宋_GB2312" w:cs="Times New Roman"/>
          <w:szCs w:val="21"/>
        </w:rPr>
        <w:t>有限公司：</w:t>
      </w:r>
    </w:p>
    <w:p>
      <w:pPr>
        <w:widowControl/>
        <w:tabs>
          <w:tab w:val="left" w:pos="7380"/>
        </w:tabs>
        <w:spacing w:line="480" w:lineRule="atLeast"/>
        <w:rPr>
          <w:rFonts w:ascii="仿宋_GB2312" w:hAnsi="宋体" w:eastAsia="仿宋_GB2312" w:cs="Times New Roman"/>
          <w:szCs w:val="21"/>
        </w:rPr>
      </w:pPr>
    </w:p>
    <w:p>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人可以向我单位开户银行查询我单位的财务状况。</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lang w:val="en-US" w:eastAsia="zh-CN"/>
        </w:rPr>
        <w:t>竞投</w:t>
      </w:r>
      <w:r>
        <w:rPr>
          <w:rFonts w:hint="eastAsia" w:ascii="仿宋_GB2312" w:hAnsi="宋体" w:eastAsia="仿宋_GB2312" w:cs="Times New Roman"/>
          <w:szCs w:val="21"/>
        </w:rPr>
        <w:t>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lang w:val="en-US" w:eastAsia="zh-CN"/>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300" w:lineRule="auto"/>
        <w:rPr>
          <w:rFonts w:ascii="仿宋_GB2312" w:hAnsi="宋体" w:eastAsia="仿宋_GB2312" w:cs="Times New Roman"/>
          <w:szCs w:val="21"/>
          <w:u w:val="single"/>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pPr>
        <w:spacing w:line="300" w:lineRule="auto"/>
        <w:rPr>
          <w:rFonts w:ascii="宋体" w:hAnsi="宋体" w:eastAsia="宋体" w:cs="Times New Roman"/>
          <w:sz w:val="24"/>
          <w:szCs w:val="24"/>
        </w:rPr>
      </w:pPr>
    </w:p>
    <w:p>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附件6</w:t>
      </w:r>
    </w:p>
    <w:p>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eastAsia="宋体" w:cs="Times New Roman"/>
          <w:b/>
          <w:bCs/>
          <w:sz w:val="28"/>
          <w:szCs w:val="28"/>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bl>
    <w:p>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 w:hAnsi="仿宋" w:eastAsia="仿宋" w:cs="Times New Roman"/>
          <w:szCs w:val="21"/>
        </w:rPr>
        <w:t>竞投</w:t>
      </w:r>
      <w:r>
        <w:rPr>
          <w:rFonts w:hint="eastAsia" w:ascii="仿宋_GB2312" w:hAnsi="宋体" w:eastAsia="仿宋_GB2312" w:cs="Times New Roman"/>
          <w:szCs w:val="21"/>
        </w:rPr>
        <w:t xml:space="preserve">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u w:val="single"/>
        </w:rPr>
      </w:pPr>
      <w:r>
        <w:rPr>
          <w:rFonts w:hint="eastAsia" w:ascii="仿宋" w:hAnsi="仿宋" w:eastAsia="仿宋" w:cs="Times New Roman"/>
          <w:szCs w:val="21"/>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400" w:lineRule="exact"/>
        <w:rPr>
          <w:rFonts w:ascii="仿宋_GB2312" w:hAnsi="宋体" w:eastAsia="仿宋_GB2312" w:cs="Times New Roman"/>
          <w:szCs w:val="21"/>
          <w:u w:val="single"/>
        </w:rPr>
      </w:pP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keepNext/>
        <w:keepLines/>
        <w:spacing w:before="260" w:after="260" w:line="400" w:lineRule="exact"/>
        <w:outlineLvl w:val="1"/>
        <w:rPr>
          <w:rFonts w:ascii="宋体" w:hAnsi="宋体" w:eastAsia="黑体" w:cs="Times New Roman"/>
          <w:bCs/>
          <w:sz w:val="24"/>
          <w:szCs w:val="32"/>
        </w:rPr>
      </w:pPr>
      <w:r>
        <w:rPr>
          <w:rFonts w:hint="eastAsia" w:ascii="仿宋_GB2312" w:hAnsi="Arial" w:eastAsia="仿宋_GB2312" w:cs="Times New Roman"/>
          <w:bCs/>
          <w:sz w:val="24"/>
          <w:szCs w:val="24"/>
        </w:rPr>
        <w:t xml:space="preserve">附件7 </w:t>
      </w:r>
      <w:r>
        <w:rPr>
          <w:rFonts w:hint="eastAsia" w:ascii="宋体" w:hAnsi="宋体" w:eastAsia="黑体" w:cs="Times New Roman"/>
          <w:b/>
          <w:bCs/>
          <w:sz w:val="24"/>
          <w:szCs w:val="32"/>
        </w:rPr>
        <w:t xml:space="preserve">           </w:t>
      </w:r>
    </w:p>
    <w:p>
      <w:pPr>
        <w:spacing w:line="300" w:lineRule="auto"/>
        <w:jc w:val="center"/>
        <w:rPr>
          <w:rFonts w:ascii="宋体" w:hAnsi="宋体" w:eastAsia="宋体" w:cs="Times New Roman"/>
          <w:b/>
          <w:bCs/>
          <w:sz w:val="28"/>
          <w:szCs w:val="28"/>
        </w:rPr>
      </w:pPr>
    </w:p>
    <w:p>
      <w:pPr>
        <w:spacing w:line="300" w:lineRule="auto"/>
        <w:jc w:val="center"/>
        <w:rPr>
          <w:rFonts w:hint="eastAsia"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广州塔广场商铺落位论证工作方案服务采购项目</w:t>
      </w:r>
    </w:p>
    <w:p>
      <w:pPr>
        <w:spacing w:line="300" w:lineRule="auto"/>
        <w:jc w:val="center"/>
        <w:rPr>
          <w:rFonts w:ascii="宋体" w:hAnsi="宋体" w:eastAsia="宋体" w:cs="Times New Roman"/>
          <w:szCs w:val="21"/>
        </w:rPr>
      </w:pPr>
      <w:r>
        <w:rPr>
          <w:rFonts w:hint="eastAsia" w:ascii="仿宋_GB2312" w:hAnsi="宋体" w:eastAsia="仿宋_GB2312" w:cs="宋体"/>
          <w:b/>
          <w:bCs/>
          <w:sz w:val="32"/>
          <w:szCs w:val="32"/>
          <w:lang w:val="en-US" w:eastAsia="zh-CN"/>
        </w:rPr>
        <w:t>服务建议书</w:t>
      </w:r>
    </w:p>
    <w:p>
      <w:pPr>
        <w:spacing w:line="300" w:lineRule="auto"/>
        <w:rPr>
          <w:rFonts w:ascii="仿宋" w:hAnsi="仿宋" w:eastAsia="仿宋" w:cs="Times New Roman"/>
          <w:szCs w:val="21"/>
        </w:rPr>
      </w:pPr>
      <w:r>
        <w:rPr>
          <w:rFonts w:hint="eastAsia" w:ascii="仿宋" w:hAnsi="仿宋" w:eastAsia="仿宋" w:cs="Times New Roman"/>
          <w:szCs w:val="21"/>
        </w:rPr>
        <w:t>格式自定，编制对应目录。</w:t>
      </w:r>
    </w:p>
    <w:p>
      <w:pPr>
        <w:spacing w:line="300" w:lineRule="auto"/>
        <w:rPr>
          <w:rFonts w:ascii="仿宋" w:hAnsi="仿宋" w:eastAsia="仿宋" w:cs="Times New Roman"/>
          <w:szCs w:val="21"/>
        </w:rPr>
      </w:pPr>
      <w:r>
        <w:rPr>
          <w:rFonts w:hint="eastAsia" w:ascii="仿宋" w:hAnsi="仿宋" w:eastAsia="仿宋" w:cs="Times New Roman"/>
          <w:szCs w:val="21"/>
        </w:rPr>
        <w:t>内容包括但不限于：</w:t>
      </w:r>
    </w:p>
    <w:p>
      <w:pPr>
        <w:spacing w:line="300" w:lineRule="auto"/>
        <w:rPr>
          <w:rFonts w:hint="eastAsia" w:ascii="仿宋" w:hAnsi="仿宋" w:eastAsia="仿宋" w:cs="Arial Unicode MS"/>
          <w:szCs w:val="18"/>
          <w:lang w:eastAsia="zh-CN"/>
        </w:rPr>
      </w:pPr>
      <w:r>
        <w:rPr>
          <w:rFonts w:hint="eastAsia" w:ascii="仿宋" w:hAnsi="仿宋" w:eastAsia="仿宋" w:cs="Arial Unicode MS"/>
          <w:szCs w:val="18"/>
        </w:rPr>
        <w:t>（一）项目整体</w:t>
      </w:r>
      <w:r>
        <w:rPr>
          <w:rFonts w:hint="eastAsia" w:ascii="仿宋" w:hAnsi="仿宋" w:eastAsia="仿宋" w:cs="Arial Unicode MS"/>
          <w:szCs w:val="18"/>
          <w:lang w:val="en-US" w:eastAsia="zh-CN"/>
        </w:rPr>
        <w:t>分析</w:t>
      </w:r>
    </w:p>
    <w:p>
      <w:pPr>
        <w:spacing w:line="300" w:lineRule="auto"/>
        <w:rPr>
          <w:rFonts w:hint="eastAsia" w:ascii="仿宋" w:hAnsi="仿宋" w:eastAsia="仿宋" w:cs="Times New Roman"/>
          <w:szCs w:val="21"/>
          <w:lang w:val="en-US" w:eastAsia="zh-CN"/>
        </w:rPr>
      </w:pPr>
      <w:r>
        <w:rPr>
          <w:rFonts w:hint="eastAsia" w:ascii="仿宋" w:hAnsi="仿宋" w:eastAsia="仿宋" w:cs="Times New Roman"/>
          <w:szCs w:val="21"/>
        </w:rPr>
        <w:t>（二）项目</w:t>
      </w:r>
      <w:r>
        <w:rPr>
          <w:rFonts w:hint="eastAsia" w:ascii="仿宋" w:hAnsi="仿宋" w:eastAsia="仿宋" w:cs="Times New Roman"/>
          <w:szCs w:val="21"/>
          <w:lang w:val="en-US" w:eastAsia="zh-CN"/>
        </w:rPr>
        <w:t>市场调研</w:t>
      </w:r>
    </w:p>
    <w:p>
      <w:pPr>
        <w:spacing w:line="300" w:lineRule="auto"/>
        <w:rPr>
          <w:rFonts w:hint="default" w:ascii="仿宋" w:hAnsi="仿宋" w:eastAsia="仿宋" w:cs="Times New Roman"/>
          <w:szCs w:val="21"/>
          <w:lang w:val="en-US"/>
        </w:rPr>
      </w:pPr>
      <w:r>
        <w:rPr>
          <w:rFonts w:hint="eastAsia" w:ascii="仿宋" w:hAnsi="仿宋" w:eastAsia="仿宋" w:cs="Times New Roman"/>
          <w:szCs w:val="21"/>
        </w:rPr>
        <w:t>（三）项目</w:t>
      </w:r>
      <w:r>
        <w:rPr>
          <w:rFonts w:hint="eastAsia" w:ascii="仿宋" w:hAnsi="仿宋" w:eastAsia="仿宋" w:cs="Times New Roman"/>
          <w:szCs w:val="21"/>
          <w:lang w:val="en-US" w:eastAsia="zh-CN"/>
        </w:rPr>
        <w:t>定位及布局分析</w:t>
      </w:r>
    </w:p>
    <w:p>
      <w:pPr>
        <w:spacing w:line="300" w:lineRule="auto"/>
        <w:rPr>
          <w:rFonts w:hint="eastAsia" w:ascii="仿宋" w:hAnsi="仿宋" w:eastAsia="仿宋" w:cs="Times New Roman"/>
          <w:szCs w:val="21"/>
        </w:rPr>
      </w:pPr>
      <w:r>
        <w:rPr>
          <w:rFonts w:hint="eastAsia" w:ascii="仿宋" w:hAnsi="仿宋" w:eastAsia="仿宋" w:cs="Times New Roman"/>
          <w:szCs w:val="21"/>
        </w:rPr>
        <w:t>（四）</w:t>
      </w:r>
      <w:r>
        <w:rPr>
          <w:rFonts w:hint="eastAsia" w:ascii="仿宋" w:hAnsi="仿宋" w:eastAsia="仿宋" w:cs="Times New Roman"/>
          <w:szCs w:val="21"/>
          <w:lang w:val="en-US" w:eastAsia="zh-CN"/>
        </w:rPr>
        <w:t>项目招商、</w:t>
      </w:r>
      <w:r>
        <w:rPr>
          <w:rFonts w:hint="eastAsia" w:ascii="仿宋" w:hAnsi="仿宋" w:eastAsia="仿宋" w:cs="Times New Roman"/>
          <w:szCs w:val="21"/>
        </w:rPr>
        <w:t>运营建议</w:t>
      </w:r>
    </w:p>
    <w:p>
      <w:pPr>
        <w:spacing w:line="300" w:lineRule="auto"/>
        <w:rPr>
          <w:rFonts w:hint="default" w:ascii="仿宋" w:hAnsi="仿宋" w:eastAsia="仿宋" w:cs="Times New Roman"/>
          <w:szCs w:val="21"/>
          <w:lang w:val="en-US"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五</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项目品牌落位规划</w:t>
      </w:r>
    </w:p>
    <w:p>
      <w:pPr>
        <w:spacing w:line="300" w:lineRule="auto"/>
        <w:rPr>
          <w:rFonts w:ascii="仿宋" w:hAnsi="仿宋" w:eastAsia="仿宋" w:cs="Times New Roman"/>
          <w:szCs w:val="21"/>
        </w:rPr>
      </w:pPr>
      <w:r>
        <w:rPr>
          <w:rFonts w:hint="eastAsia" w:ascii="仿宋" w:hAnsi="仿宋" w:eastAsia="仿宋" w:cs="Times New Roman"/>
          <w:szCs w:val="21"/>
        </w:rPr>
        <w:t>（</w:t>
      </w:r>
      <w:r>
        <w:rPr>
          <w:rFonts w:hint="eastAsia" w:ascii="仿宋" w:hAnsi="仿宋" w:eastAsia="仿宋" w:cs="Times New Roman"/>
          <w:szCs w:val="21"/>
          <w:lang w:val="en-US" w:eastAsia="zh-CN"/>
        </w:rPr>
        <w:t>六</w:t>
      </w:r>
      <w:r>
        <w:rPr>
          <w:rFonts w:hint="eastAsia" w:ascii="仿宋" w:hAnsi="仿宋" w:eastAsia="仿宋" w:cs="Times New Roman"/>
          <w:szCs w:val="21"/>
        </w:rPr>
        <w:t>）</w:t>
      </w:r>
      <w:r>
        <w:rPr>
          <w:rFonts w:hint="eastAsia" w:ascii="仿宋" w:hAnsi="仿宋" w:eastAsia="仿宋" w:cs="Times New Roman"/>
          <w:szCs w:val="21"/>
          <w:lang w:val="en-US" w:eastAsia="zh-CN"/>
        </w:rPr>
        <w:t>项目经济评估</w:t>
      </w:r>
    </w:p>
    <w:p>
      <w:pPr>
        <w:spacing w:line="300" w:lineRule="auto"/>
        <w:rPr>
          <w:rFonts w:ascii="仿宋" w:hAnsi="仿宋" w:eastAsia="仿宋" w:cs="Times New Roman"/>
          <w:szCs w:val="21"/>
        </w:rPr>
      </w:pPr>
      <w:r>
        <w:rPr>
          <w:rFonts w:hint="eastAsia" w:ascii="仿宋" w:hAnsi="仿宋" w:eastAsia="仿宋" w:cs="Times New Roman"/>
          <w:szCs w:val="21"/>
        </w:rPr>
        <w:t>（</w:t>
      </w:r>
      <w:r>
        <w:rPr>
          <w:rFonts w:hint="eastAsia" w:ascii="仿宋" w:hAnsi="仿宋" w:eastAsia="仿宋" w:cs="Times New Roman"/>
          <w:szCs w:val="21"/>
          <w:lang w:val="en-US" w:eastAsia="zh-CN"/>
        </w:rPr>
        <w:t>七</w:t>
      </w:r>
      <w:r>
        <w:rPr>
          <w:rFonts w:hint="eastAsia" w:ascii="仿宋" w:hAnsi="仿宋" w:eastAsia="仿宋" w:cs="Times New Roman"/>
          <w:szCs w:val="21"/>
        </w:rPr>
        <w:t>）项目服务团队</w:t>
      </w: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r>
        <w:rPr>
          <w:rFonts w:hint="eastAsia" w:ascii="仿宋" w:hAnsi="仿宋" w:eastAsia="仿宋" w:cs="Times New Roman"/>
          <w:szCs w:val="21"/>
        </w:rPr>
        <w:t>竞投人名称</w:t>
      </w:r>
      <w:r>
        <w:rPr>
          <w:rFonts w:ascii="仿宋" w:hAnsi="仿宋" w:eastAsia="仿宋" w:cs="Times New Roman"/>
          <w:szCs w:val="21"/>
        </w:rPr>
        <w:t>:</w:t>
      </w:r>
      <w:r>
        <w:rPr>
          <w:rFonts w:hint="eastAsia" w:ascii="仿宋" w:hAnsi="仿宋" w:eastAsia="仿宋" w:cs="Times New Roman"/>
          <w:szCs w:val="21"/>
        </w:rPr>
        <w:t xml:space="preserve"> </w:t>
      </w:r>
      <w:r>
        <w:rPr>
          <w:rFonts w:hint="eastAsia" w:ascii="仿宋" w:hAnsi="仿宋" w:eastAsia="仿宋" w:cs="Times New Roman"/>
          <w:szCs w:val="21"/>
          <w:u w:val="single"/>
        </w:rPr>
        <w:t xml:space="preserve">                     </w:t>
      </w:r>
      <w:r>
        <w:rPr>
          <w:rFonts w:hint="eastAsia" w:ascii="仿宋" w:hAnsi="仿宋" w:eastAsia="仿宋" w:cs="Times New Roman"/>
          <w:szCs w:val="21"/>
        </w:rPr>
        <w:t>（公章）</w:t>
      </w:r>
    </w:p>
    <w:p>
      <w:pPr>
        <w:spacing w:line="300" w:lineRule="auto"/>
        <w:rPr>
          <w:rFonts w:ascii="仿宋" w:hAnsi="仿宋" w:eastAsia="仿宋" w:cs="Times New Roman"/>
          <w:szCs w:val="21"/>
        </w:rPr>
      </w:pPr>
    </w:p>
    <w:p>
      <w:pPr>
        <w:spacing w:line="300" w:lineRule="auto"/>
        <w:rPr>
          <w:rFonts w:ascii="仿宋" w:hAnsi="仿宋" w:eastAsia="仿宋" w:cs="Times New Roman"/>
          <w:szCs w:val="21"/>
          <w:u w:val="single"/>
        </w:rPr>
      </w:pPr>
      <w:r>
        <w:rPr>
          <w:rFonts w:hint="eastAsia" w:ascii="仿宋" w:hAnsi="仿宋" w:eastAsia="仿宋" w:cs="Times New Roman"/>
          <w:szCs w:val="21"/>
        </w:rPr>
        <w:t>竞投</w:t>
      </w:r>
      <w:r>
        <w:rPr>
          <w:rFonts w:hint="eastAsia" w:ascii="仿宋" w:hAnsi="仿宋" w:eastAsia="仿宋" w:cs="Times New Roman"/>
          <w:szCs w:val="24"/>
        </w:rPr>
        <w:t>人授权代表签字</w:t>
      </w:r>
      <w:r>
        <w:rPr>
          <w:rFonts w:hint="eastAsia" w:ascii="仿宋" w:hAnsi="仿宋" w:eastAsia="仿宋" w:cs="Times New Roman"/>
          <w:szCs w:val="21"/>
        </w:rPr>
        <w:t>（签名）：</w:t>
      </w:r>
      <w:r>
        <w:rPr>
          <w:rFonts w:hint="eastAsia" w:ascii="仿宋" w:hAnsi="仿宋" w:eastAsia="仿宋" w:cs="Times New Roman"/>
          <w:szCs w:val="21"/>
          <w:u w:val="single"/>
        </w:rPr>
        <w:t xml:space="preserve">               </w:t>
      </w:r>
    </w:p>
    <w:p>
      <w:pPr>
        <w:spacing w:line="300" w:lineRule="auto"/>
        <w:rPr>
          <w:rFonts w:ascii="仿宋" w:hAnsi="仿宋" w:eastAsia="仿宋" w:cs="Times New Roman"/>
          <w:szCs w:val="21"/>
          <w:u w:val="single"/>
        </w:rPr>
      </w:pPr>
    </w:p>
    <w:p>
      <w:pPr>
        <w:spacing w:line="300" w:lineRule="auto"/>
        <w:rPr>
          <w:rFonts w:ascii="仿宋" w:hAnsi="仿宋" w:eastAsia="仿宋" w:cs="Times New Roman"/>
          <w:b/>
          <w:sz w:val="10"/>
          <w:szCs w:val="24"/>
        </w:rPr>
      </w:pPr>
      <w:r>
        <w:rPr>
          <w:rFonts w:hint="eastAsia" w:ascii="仿宋" w:hAnsi="仿宋" w:eastAsia="仿宋" w:cs="Times New Roman"/>
          <w:szCs w:val="21"/>
        </w:rPr>
        <w:t>日期：  年   月   日</w:t>
      </w:r>
    </w:p>
    <w:p>
      <w:pPr>
        <w:spacing w:line="400" w:lineRule="exact"/>
        <w:rPr>
          <w:rFonts w:ascii="宋体" w:hAnsi="宋体" w:eastAsia="宋体" w:cs="Times New Roman"/>
          <w:szCs w:val="21"/>
          <w:u w:val="single"/>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spacing w:line="600" w:lineRule="exact"/>
        <w:jc w:val="center"/>
        <w:rPr>
          <w:rFonts w:ascii="宋体" w:hAnsi="宋体" w:eastAsia="宋体" w:cs="仿宋"/>
          <w:b/>
          <w:sz w:val="36"/>
          <w:szCs w:val="36"/>
        </w:rPr>
      </w:pPr>
    </w:p>
    <w:p>
      <w:pPr>
        <w:rPr>
          <w:rFonts w:ascii="Calibri" w:hAnsi="Calibri" w:eastAsia="宋体" w:cs="Times New Roman"/>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TT54AB0ED3tCID-WinCharSetFFFF-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931"/>
      </w:tabs>
      <w:ind w:right="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FAD08"/>
    <w:multiLevelType w:val="singleLevel"/>
    <w:tmpl w:val="C6CFAD08"/>
    <w:lvl w:ilvl="0" w:tentative="0">
      <w:start w:val="1"/>
      <w:numFmt w:val="bullet"/>
      <w:lvlText w:val=""/>
      <w:lvlJc w:val="left"/>
      <w:pPr>
        <w:ind w:left="420" w:hanging="42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425" w:hanging="425"/>
      </w:pPr>
      <w:rPr>
        <w:rFonts w:hint="eastAsia"/>
      </w:rPr>
    </w:lvl>
    <w:lvl w:ilvl="1" w:tentative="0">
      <w:start w:val="1"/>
      <w:numFmt w:val="decimal"/>
      <w:lvlText w:val="2.%2."/>
      <w:lvlJc w:val="left"/>
      <w:pPr>
        <w:ind w:left="567" w:firstLine="22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02"/>
    <w:multiLevelType w:val="multilevel"/>
    <w:tmpl w:val="0000000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3"/>
    <w:multiLevelType w:val="multilevel"/>
    <w:tmpl w:val="00000003"/>
    <w:lvl w:ilvl="0" w:tentative="0">
      <w:start w:val="1"/>
      <w:numFmt w:val="decimal"/>
      <w:lvlText w:val="%1."/>
      <w:lvlJc w:val="left"/>
      <w:pPr>
        <w:ind w:left="425" w:hanging="425"/>
      </w:pPr>
      <w:rPr>
        <w:rFonts w:hint="eastAsia"/>
      </w:rPr>
    </w:lvl>
    <w:lvl w:ilvl="1" w:tentative="0">
      <w:start w:val="1"/>
      <w:numFmt w:val="decimal"/>
      <w:lvlText w:val="%1.%2."/>
      <w:lvlJc w:val="left"/>
      <w:pPr>
        <w:ind w:left="567" w:firstLine="22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0000004"/>
    <w:multiLevelType w:val="multilevel"/>
    <w:tmpl w:val="00000004"/>
    <w:lvl w:ilvl="0" w:tentative="0">
      <w:start w:val="1"/>
      <w:numFmt w:val="chineseCountingThousand"/>
      <w:lvlText w:val="第%1条"/>
      <w:lvlJc w:val="left"/>
      <w:pPr>
        <w:ind w:left="420" w:hanging="420"/>
      </w:pPr>
      <w:rPr>
        <w:rFonts w:hint="default" w:cs="Times New Roman"/>
        <w:b/>
        <w:sz w:val="21"/>
        <w:szCs w:val="21"/>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06"/>
    <w:multiLevelType w:val="multilevel"/>
    <w:tmpl w:val="0000000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7"/>
    <w:multiLevelType w:val="multilevel"/>
    <w:tmpl w:val="000000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09"/>
    <w:multiLevelType w:val="multilevel"/>
    <w:tmpl w:val="00000009"/>
    <w:lvl w:ilvl="0" w:tentative="0">
      <w:start w:val="1"/>
      <w:numFmt w:val="decimal"/>
      <w:lvlText w:val="%1."/>
      <w:lvlJc w:val="left"/>
      <w:pPr>
        <w:ind w:left="845" w:hanging="425"/>
      </w:pPr>
    </w:lvl>
    <w:lvl w:ilvl="1" w:tentative="0">
      <w:start w:val="1"/>
      <w:numFmt w:val="decimal"/>
      <w:lvlText w:val="%1.%2."/>
      <w:lvlJc w:val="left"/>
      <w:pPr>
        <w:ind w:left="987" w:hanging="567"/>
      </w:pPr>
    </w:lvl>
    <w:lvl w:ilvl="2" w:tentative="0">
      <w:start w:val="1"/>
      <w:numFmt w:val="decimal"/>
      <w:lvlText w:val="%1.%2.%3."/>
      <w:lvlJc w:val="left"/>
      <w:pPr>
        <w:ind w:left="1129" w:hanging="709"/>
      </w:p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9">
    <w:nsid w:val="0000000A"/>
    <w:multiLevelType w:val="multilevel"/>
    <w:tmpl w:val="0000000A"/>
    <w:lvl w:ilvl="0" w:tentative="0">
      <w:start w:val="1"/>
      <w:numFmt w:val="decimal"/>
      <w:lvlText w:val="%1."/>
      <w:lvlJc w:val="left"/>
      <w:pPr>
        <w:ind w:left="425" w:hanging="425"/>
      </w:pPr>
      <w:rPr>
        <w:rFonts w:hint="eastAsia"/>
      </w:rPr>
    </w:lvl>
    <w:lvl w:ilvl="1" w:tentative="0">
      <w:start w:val="1"/>
      <w:numFmt w:val="decimal"/>
      <w:lvlText w:val="%1.%2."/>
      <w:lvlJc w:val="left"/>
      <w:pPr>
        <w:ind w:left="567" w:firstLine="22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0000000B"/>
    <w:multiLevelType w:val="multilevel"/>
    <w:tmpl w:val="0000000B"/>
    <w:lvl w:ilvl="0" w:tentative="0">
      <w:start w:val="1"/>
      <w:numFmt w:val="decimal"/>
      <w:lvlText w:val="%1."/>
      <w:lvlJc w:val="left"/>
      <w:pPr>
        <w:ind w:left="425" w:hanging="425"/>
      </w:pPr>
      <w:rPr>
        <w:rFonts w:hint="eastAsia"/>
      </w:rPr>
    </w:lvl>
    <w:lvl w:ilvl="1" w:tentative="0">
      <w:start w:val="1"/>
      <w:numFmt w:val="decimal"/>
      <w:lvlText w:val="1.%2."/>
      <w:lvlJc w:val="left"/>
      <w:pPr>
        <w:ind w:left="567" w:firstLine="22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0000000C"/>
    <w:multiLevelType w:val="multilevel"/>
    <w:tmpl w:val="000000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000000D"/>
    <w:multiLevelType w:val="multilevel"/>
    <w:tmpl w:val="0000000D"/>
    <w:lvl w:ilvl="0" w:tentative="0">
      <w:start w:val="1"/>
      <w:numFmt w:val="decimal"/>
      <w:lvlText w:val="%1."/>
      <w:lvlJc w:val="left"/>
      <w:pPr>
        <w:ind w:left="425" w:hanging="425"/>
      </w:pPr>
      <w:rPr>
        <w:rFonts w:hint="eastAsia"/>
      </w:rPr>
    </w:lvl>
    <w:lvl w:ilvl="1" w:tentative="0">
      <w:start w:val="1"/>
      <w:numFmt w:val="decimal"/>
      <w:lvlText w:val="2.%2."/>
      <w:lvlJc w:val="left"/>
      <w:pPr>
        <w:ind w:left="567" w:firstLine="22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0000000E"/>
    <w:multiLevelType w:val="multilevel"/>
    <w:tmpl w:val="0000000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0F"/>
    <w:multiLevelType w:val="multilevel"/>
    <w:tmpl w:val="0000000F"/>
    <w:lvl w:ilvl="0" w:tentative="0">
      <w:start w:val="1"/>
      <w:numFmt w:val="decimal"/>
      <w:lvlText w:val="%1."/>
      <w:lvlJc w:val="left"/>
      <w:pPr>
        <w:ind w:left="845" w:hanging="425"/>
      </w:pPr>
    </w:lvl>
    <w:lvl w:ilvl="1" w:tentative="0">
      <w:start w:val="1"/>
      <w:numFmt w:val="decimal"/>
      <w:lvlText w:val="%1.%2."/>
      <w:lvlJc w:val="left"/>
      <w:pPr>
        <w:ind w:left="987" w:hanging="567"/>
      </w:pPr>
    </w:lvl>
    <w:lvl w:ilvl="2" w:tentative="0">
      <w:start w:val="1"/>
      <w:numFmt w:val="decimal"/>
      <w:lvlText w:val="%1.%2.%3."/>
      <w:lvlJc w:val="left"/>
      <w:pPr>
        <w:ind w:left="1129" w:hanging="709"/>
      </w:p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15">
    <w:nsid w:val="00000010"/>
    <w:multiLevelType w:val="multilevel"/>
    <w:tmpl w:val="00000010"/>
    <w:lvl w:ilvl="0" w:tentative="0">
      <w:start w:val="1"/>
      <w:numFmt w:val="decimal"/>
      <w:lvlText w:val="%1."/>
      <w:lvlJc w:val="left"/>
      <w:pPr>
        <w:ind w:left="840" w:hanging="420"/>
      </w:pPr>
      <w:rPr>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11"/>
    <w:multiLevelType w:val="multilevel"/>
    <w:tmpl w:val="000000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0000012"/>
    <w:multiLevelType w:val="multilevel"/>
    <w:tmpl w:val="0000001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B095A6C"/>
    <w:multiLevelType w:val="multilevel"/>
    <w:tmpl w:val="1B095A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D743346"/>
    <w:multiLevelType w:val="multilevel"/>
    <w:tmpl w:val="1D7433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2">
    <w:nsid w:val="620115C1"/>
    <w:multiLevelType w:val="singleLevel"/>
    <w:tmpl w:val="620115C1"/>
    <w:lvl w:ilvl="0" w:tentative="0">
      <w:start w:val="1"/>
      <w:numFmt w:val="chineseCounting"/>
      <w:suff w:val="nothing"/>
      <w:lvlText w:val="%1、"/>
      <w:lvlJc w:val="left"/>
      <w:rPr>
        <w:rFonts w:hint="eastAsia"/>
      </w:rPr>
    </w:lvl>
  </w:abstractNum>
  <w:abstractNum w:abstractNumId="23">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23"/>
  </w:num>
  <w:num w:numId="3">
    <w:abstractNumId w:val="20"/>
  </w:num>
  <w:num w:numId="4">
    <w:abstractNumId w:val="4"/>
  </w:num>
  <w:num w:numId="5">
    <w:abstractNumId w:val="6"/>
  </w:num>
  <w:num w:numId="6">
    <w:abstractNumId w:val="15"/>
  </w:num>
  <w:num w:numId="7">
    <w:abstractNumId w:val="0"/>
  </w:num>
  <w:num w:numId="8">
    <w:abstractNumId w:val="2"/>
  </w:num>
  <w:num w:numId="9">
    <w:abstractNumId w:val="11"/>
  </w:num>
  <w:num w:numId="10">
    <w:abstractNumId w:val="5"/>
  </w:num>
  <w:num w:numId="11">
    <w:abstractNumId w:val="13"/>
  </w:num>
  <w:num w:numId="12">
    <w:abstractNumId w:val="10"/>
  </w:num>
  <w:num w:numId="13">
    <w:abstractNumId w:val="1"/>
  </w:num>
  <w:num w:numId="14">
    <w:abstractNumId w:val="16"/>
  </w:num>
  <w:num w:numId="15">
    <w:abstractNumId w:val="9"/>
  </w:num>
  <w:num w:numId="16">
    <w:abstractNumId w:val="12"/>
  </w:num>
  <w:num w:numId="17">
    <w:abstractNumId w:val="14"/>
  </w:num>
  <w:num w:numId="18">
    <w:abstractNumId w:val="7"/>
  </w:num>
  <w:num w:numId="19">
    <w:abstractNumId w:val="17"/>
  </w:num>
  <w:num w:numId="20">
    <w:abstractNumId w:val="3"/>
  </w:num>
  <w:num w:numId="21">
    <w:abstractNumId w:val="19"/>
  </w:num>
  <w:num w:numId="22">
    <w:abstractNumId w:val="18"/>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WZjZGZiNGFlOTQ0ZWJmMDk3NjE0ODVlYmYxMzEifQ=="/>
  </w:docVars>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10C3"/>
    <w:rsid w:val="00EC5DE1"/>
    <w:rsid w:val="00F0213D"/>
    <w:rsid w:val="00F27015"/>
    <w:rsid w:val="00F3070E"/>
    <w:rsid w:val="00F4543B"/>
    <w:rsid w:val="00F510BF"/>
    <w:rsid w:val="00FA27FB"/>
    <w:rsid w:val="00FB10B8"/>
    <w:rsid w:val="00FF5CFB"/>
    <w:rsid w:val="051A32F4"/>
    <w:rsid w:val="06DD3837"/>
    <w:rsid w:val="07616CE3"/>
    <w:rsid w:val="0B2455CD"/>
    <w:rsid w:val="0BEA0362"/>
    <w:rsid w:val="0CDA5969"/>
    <w:rsid w:val="0EA915DA"/>
    <w:rsid w:val="17001131"/>
    <w:rsid w:val="1A2C5DA2"/>
    <w:rsid w:val="1C091BDF"/>
    <w:rsid w:val="21BF6877"/>
    <w:rsid w:val="232E6EC3"/>
    <w:rsid w:val="256C5817"/>
    <w:rsid w:val="25B120C1"/>
    <w:rsid w:val="25BE3CA0"/>
    <w:rsid w:val="25E84DC8"/>
    <w:rsid w:val="262922CC"/>
    <w:rsid w:val="282F2935"/>
    <w:rsid w:val="28B153F6"/>
    <w:rsid w:val="291B3AC5"/>
    <w:rsid w:val="2A9F153F"/>
    <w:rsid w:val="2CCA1365"/>
    <w:rsid w:val="2D873E14"/>
    <w:rsid w:val="2DA004CD"/>
    <w:rsid w:val="32165BAA"/>
    <w:rsid w:val="36495606"/>
    <w:rsid w:val="37390197"/>
    <w:rsid w:val="390D08A6"/>
    <w:rsid w:val="395F28FE"/>
    <w:rsid w:val="3BBD597A"/>
    <w:rsid w:val="3E9400F5"/>
    <w:rsid w:val="3F6F548D"/>
    <w:rsid w:val="3FF91C51"/>
    <w:rsid w:val="41D426C5"/>
    <w:rsid w:val="42F022FE"/>
    <w:rsid w:val="43093278"/>
    <w:rsid w:val="445621F6"/>
    <w:rsid w:val="46006AB7"/>
    <w:rsid w:val="49C050AE"/>
    <w:rsid w:val="4A4213E1"/>
    <w:rsid w:val="4BEE4C27"/>
    <w:rsid w:val="4C41689C"/>
    <w:rsid w:val="4F575F9B"/>
    <w:rsid w:val="4FBA61C8"/>
    <w:rsid w:val="52BC0B2D"/>
    <w:rsid w:val="532C53CA"/>
    <w:rsid w:val="53A91585"/>
    <w:rsid w:val="57FA1292"/>
    <w:rsid w:val="5A327747"/>
    <w:rsid w:val="5C154191"/>
    <w:rsid w:val="5C6B75B7"/>
    <w:rsid w:val="5D1328DC"/>
    <w:rsid w:val="5D193A39"/>
    <w:rsid w:val="5EEB573C"/>
    <w:rsid w:val="62C7688D"/>
    <w:rsid w:val="646B61B6"/>
    <w:rsid w:val="6F6315DA"/>
    <w:rsid w:val="70063FF7"/>
    <w:rsid w:val="707065AF"/>
    <w:rsid w:val="711B488C"/>
    <w:rsid w:val="73677D09"/>
    <w:rsid w:val="74985085"/>
    <w:rsid w:val="79B9046D"/>
    <w:rsid w:val="79F54476"/>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left="720"/>
    </w:pPr>
    <w:rPr>
      <w:kern w:val="0"/>
      <w:sz w:val="24"/>
    </w:rPr>
  </w:style>
  <w:style w:type="paragraph" w:styleId="3">
    <w:name w:val="Balloon Text"/>
    <w:basedOn w:val="1"/>
    <w:link w:val="15"/>
    <w:semiHidden/>
    <w:unhideWhenUsed/>
    <w:qFormat/>
    <w:uiPriority w:val="99"/>
    <w:rPr>
      <w:rFonts w:ascii="Times New Roman" w:hAnsi="Times New Roman" w:eastAsia="宋体" w:cs="Times New Roman"/>
      <w:sz w:val="18"/>
      <w:szCs w:val="18"/>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page number"/>
    <w:basedOn w:val="7"/>
    <w:qFormat/>
    <w:uiPriority w:val="0"/>
  </w:style>
  <w:style w:type="character" w:customStyle="1" w:styleId="9">
    <w:name w:val="页眉 字符"/>
    <w:basedOn w:val="7"/>
    <w:link w:val="5"/>
    <w:qFormat/>
    <w:uiPriority w:val="0"/>
    <w:rPr>
      <w:rFonts w:ascii="Times New Roman" w:hAnsi="Times New Roman" w:eastAsia="宋体" w:cs="Times New Roman"/>
      <w:sz w:val="18"/>
      <w:szCs w:val="20"/>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rPr>
      <w:rFonts w:ascii="Times New Roman" w:hAnsi="Times New Roman" w:eastAsia="宋体" w:cs="Times New Roman"/>
      <w:szCs w:val="24"/>
    </w:rPr>
  </w:style>
  <w:style w:type="character" w:customStyle="1" w:styleId="12">
    <w:name w:val="font61"/>
    <w:qFormat/>
    <w:uiPriority w:val="0"/>
    <w:rPr>
      <w:rFonts w:hint="eastAsia" w:ascii="微软雅黑" w:hAnsi="微软雅黑" w:eastAsia="微软雅黑" w:cs="微软雅黑"/>
      <w:b/>
      <w:color w:val="000000"/>
      <w:sz w:val="20"/>
      <w:szCs w:val="20"/>
      <w:u w:val="none"/>
    </w:rPr>
  </w:style>
  <w:style w:type="character" w:customStyle="1" w:styleId="13">
    <w:name w:val="font21"/>
    <w:qFormat/>
    <w:uiPriority w:val="0"/>
    <w:rPr>
      <w:rFonts w:hint="eastAsia" w:ascii="微软雅黑" w:hAnsi="微软雅黑" w:eastAsia="微软雅黑" w:cs="微软雅黑"/>
      <w:b/>
      <w:color w:val="000000"/>
      <w:sz w:val="24"/>
      <w:szCs w:val="24"/>
      <w:u w:val="none"/>
    </w:rPr>
  </w:style>
  <w:style w:type="character" w:customStyle="1" w:styleId="14">
    <w:name w:val="font121"/>
    <w:qFormat/>
    <w:uiPriority w:val="0"/>
    <w:rPr>
      <w:rFonts w:hint="eastAsia" w:ascii="微软雅黑" w:hAnsi="微软雅黑" w:eastAsia="微软雅黑" w:cs="微软雅黑"/>
      <w:b/>
      <w:color w:val="000000"/>
      <w:sz w:val="20"/>
      <w:szCs w:val="20"/>
      <w:u w:val="none"/>
    </w:rPr>
  </w:style>
  <w:style w:type="character" w:customStyle="1" w:styleId="15">
    <w:name w:val="批注框文本 字符"/>
    <w:basedOn w:val="7"/>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widowControl/>
      <w:ind w:firstLine="420" w:firstLineChars="200"/>
      <w:jc w:val="left"/>
    </w:pPr>
    <w:rPr>
      <w:rFonts w:ascii="宋体" w:hAnsi="宋体" w:cs="宋体"/>
      <w:kern w:val="0"/>
      <w:sz w:val="24"/>
    </w:rPr>
  </w:style>
  <w:style w:type="character" w:customStyle="1" w:styleId="17">
    <w:name w:val="font01"/>
    <w:qFormat/>
    <w:uiPriority w:val="0"/>
    <w:rPr>
      <w:rFonts w:hint="eastAsia" w:ascii="微软雅黑" w:hAnsi="微软雅黑" w:eastAsia="微软雅黑" w:cs="微软雅黑"/>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30</Pages>
  <Words>13051</Words>
  <Characters>13317</Characters>
  <Lines>87</Lines>
  <Paragraphs>24</Paragraphs>
  <TotalTime>0</TotalTime>
  <ScaleCrop>false</ScaleCrop>
  <LinksUpToDate>false</LinksUpToDate>
  <CharactersWithSpaces>14322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Zhao</cp:lastModifiedBy>
  <cp:lastPrinted>2022-08-08T09:02:00Z</cp:lastPrinted>
  <dcterms:modified xsi:type="dcterms:W3CDTF">2022-09-05T06:11:00Z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47DBF401DEA14C0C96E4048440F34881</vt:lpwstr>
  </property>
</Properties>
</file>