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城隽雅苑北区销售中心新增物料制作服务项目</w:t>
      </w: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广州市城壹房地产顾问有限公司</w:t>
      </w:r>
    </w:p>
    <w:p>
      <w:pPr>
        <w:spacing w:line="400" w:lineRule="exact"/>
        <w:jc w:val="center"/>
        <w:rPr>
          <w:rFonts w:ascii="楷体" w:hAnsi="楷体" w:eastAsia="楷体" w:cs="宋体"/>
          <w:b/>
          <w:bCs/>
          <w:sz w:val="36"/>
          <w:szCs w:val="36"/>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2022年</w:t>
      </w:r>
      <w:r>
        <w:rPr>
          <w:rFonts w:hint="eastAsia" w:ascii="楷体" w:hAnsi="楷体" w:eastAsia="楷体" w:cs="宋体"/>
          <w:b/>
          <w:bCs/>
          <w:sz w:val="32"/>
          <w:szCs w:val="32"/>
          <w:u w:val="single"/>
          <w:lang w:val="en-US" w:eastAsia="zh-CN"/>
        </w:rPr>
        <w:t>11</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30</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2"/>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spacing w:line="400" w:lineRule="exact"/>
        <w:jc w:val="both"/>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城隽雅苑北区销售中心</w:t>
      </w:r>
      <w:bookmarkStart w:id="1" w:name="_Hlk119936707"/>
      <w:r>
        <w:rPr>
          <w:rFonts w:hint="eastAsia" w:ascii="仿宋_GB2312" w:hAnsi="宋体" w:eastAsia="仿宋_GB2312" w:cs="宋体"/>
          <w:b/>
          <w:bCs/>
          <w:spacing w:val="20"/>
          <w:kern w:val="44"/>
          <w:sz w:val="32"/>
          <w:szCs w:val="32"/>
        </w:rPr>
        <w:t>新增物料制作采购服务</w:t>
      </w:r>
      <w:bookmarkEnd w:id="1"/>
      <w:r>
        <w:rPr>
          <w:rFonts w:hint="eastAsia" w:ascii="仿宋_GB2312" w:hAnsi="宋体" w:eastAsia="仿宋_GB2312" w:cs="宋体"/>
          <w:b/>
          <w:bCs/>
          <w:spacing w:val="20"/>
          <w:kern w:val="44"/>
          <w:sz w:val="32"/>
          <w:szCs w:val="32"/>
        </w:rPr>
        <w:t>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ind w:firstLine="480" w:firstLineChars="200"/>
        <w:rPr>
          <w:rFonts w:ascii="仿宋_GB2312" w:hAnsi="仿宋_GB2312" w:eastAsia="仿宋_GB2312" w:cs="仿宋_GB2312"/>
          <w:sz w:val="24"/>
          <w:szCs w:val="24"/>
        </w:rPr>
      </w:pPr>
      <w:bookmarkStart w:id="2" w:name="_Hlk111890027"/>
      <w:r>
        <w:rPr>
          <w:rFonts w:hint="eastAsia" w:ascii="仿宋_GB2312" w:hAnsi="仿宋_GB2312" w:eastAsia="仿宋_GB2312" w:cs="仿宋_GB2312"/>
          <w:sz w:val="24"/>
          <w:szCs w:val="24"/>
        </w:rPr>
        <w:t>根据有关法律法规及相关采购管理规定，本着公平、公正、公开原则，拟对</w:t>
      </w:r>
      <w:bookmarkStart w:id="3" w:name="_Hlk111890068"/>
      <w:r>
        <w:rPr>
          <w:rFonts w:hint="eastAsia" w:ascii="仿宋_GB2312" w:hAnsi="仿宋_GB2312" w:eastAsia="仿宋_GB2312" w:cs="仿宋_GB2312"/>
          <w:sz w:val="24"/>
          <w:szCs w:val="24"/>
        </w:rPr>
        <w:t>城</w:t>
      </w:r>
      <w:bookmarkEnd w:id="3"/>
      <w:r>
        <w:rPr>
          <w:rFonts w:hint="eastAsia" w:ascii="仿宋_GB2312" w:hAnsi="仿宋_GB2312" w:eastAsia="仿宋_GB2312" w:cs="仿宋_GB2312"/>
          <w:sz w:val="24"/>
          <w:szCs w:val="24"/>
        </w:rPr>
        <w:t>隽雅苑北区销售中心新增物料制作服务项目进行公开竞选采购，按竞选采购程序选定相应服务单位，现将该竞选采购项目相关信息对外公开发布。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（一）项目名称：城隽雅苑北区销售中心新增物料制作采购服务项目</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（二）项目内容：针对城隽雅苑北区共有产权住房项目，提供新增物料制作采购服务，主要包括主要</w:t>
      </w:r>
      <w:bookmarkStart w:id="4" w:name="_Hlk119940245"/>
      <w:r>
        <w:rPr>
          <w:rFonts w:hint="eastAsia" w:ascii="仿宋_GB2312" w:hAnsi="仿宋_GB2312" w:eastAsia="仿宋_GB2312" w:cs="仿宋_GB2312"/>
          <w:sz w:val="24"/>
          <w:szCs w:val="24"/>
        </w:rPr>
        <w:t>包括销售中心指示标识、装饰等物料的设计与制作，以及销售中心物资、儿童区软装等</w:t>
      </w:r>
      <w:bookmarkEnd w:id="4"/>
      <w:r>
        <w:rPr>
          <w:rFonts w:hint="eastAsia" w:ascii="仿宋_GB2312" w:hAnsi="仿宋_GB2312" w:eastAsia="仿宋_GB2312" w:cs="仿宋_GB2312"/>
          <w:sz w:val="24"/>
          <w:szCs w:val="24"/>
        </w:rPr>
        <w:t>采购服务，具体详见附件清单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（三）项目地点：广州市番禺区新造镇城隽雅苑北区销售中心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（四）项目限价：</w:t>
      </w:r>
      <w:r>
        <w:rPr>
          <w:rFonts w:ascii="仿宋_GB2312" w:hAnsi="仿宋_GB2312" w:eastAsia="仿宋_GB2312" w:cs="仿宋_GB2312"/>
          <w:sz w:val="24"/>
          <w:szCs w:val="24"/>
        </w:rPr>
        <w:t>255077.34</w:t>
      </w:r>
      <w:r>
        <w:rPr>
          <w:rFonts w:hint="eastAsia" w:ascii="仿宋_GB2312" w:hAnsi="仿宋_GB2312" w:eastAsia="仿宋_GB2312" w:cs="仿宋_GB2312"/>
          <w:sz w:val="24"/>
          <w:szCs w:val="24"/>
        </w:rPr>
        <w:t>元人民币（含税）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（五）本项目设置合理报价区间为[项目限价*80%，项目限价]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（二）城隽雅苑北区销售中心新增物料制作服务方案（含竞投报价清单以及服务事项）。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（四）竞投文件提交截止时间：2022年1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日上午9:00-9：30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（五）递交地址：广州市越秀区广电城投686产业园22楼</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（六）开评标时间：2022年1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（三）竞投文件的截止递交时间前，如递交的有效竞投文件少于三家，否则采购招选工作失败。广州市城壹房地产顾问有限公司将按有关规定另行组织采购竞选工作。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（一）采购人名称：广州市城壹房地产顾问有限公司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w:t>
      </w:r>
      <w:r>
        <w:rPr>
          <w:rFonts w:hint="eastAsia" w:ascii="仿宋_GB2312" w:hAnsi="仿宋_GB2312" w:eastAsia="仿宋_GB2312" w:cs="仿宋_GB2312"/>
          <w:color w:val="000000" w:themeColor="text1"/>
          <w:sz w:val="24"/>
          <w:szCs w:val="24"/>
          <w14:textFill>
            <w14:solidFill>
              <w14:schemeClr w14:val="tx1"/>
            </w14:solidFill>
          </w14:textFill>
        </w:rPr>
        <w:t>广州市越秀区广电城投686产业园22楼</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（三）采购联系人：陈小姐</w:t>
      </w:r>
    </w:p>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联系方式：13434178251</w:t>
      </w: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ind w:right="48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5" w:name="_Hlk1118903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6" w:name="_Hlk111890499"/>
      <w:r>
        <w:rPr>
          <w:rFonts w:hint="eastAsia" w:ascii="仿宋_GB2312" w:hAnsi="仿宋_GB2312" w:eastAsia="仿宋_GB2312" w:cs="仿宋_GB2312"/>
          <w:color w:val="000000" w:themeColor="text1"/>
          <w:sz w:val="24"/>
          <w:szCs w:val="24"/>
          <w14:textFill>
            <w14:solidFill>
              <w14:schemeClr w14:val="tx1"/>
            </w14:solidFill>
          </w14:textFill>
        </w:rPr>
        <w:t>广州市城壹房地产顾问有限公司</w:t>
      </w:r>
      <w:bookmarkEnd w:id="5"/>
      <w:bookmarkEnd w:id="6"/>
    </w:p>
    <w:bookmarkEnd w:id="2"/>
    <w:p>
      <w:pPr>
        <w:widowControl/>
        <w:wordWrap w:val="0"/>
        <w:spacing w:line="400" w:lineRule="exact"/>
        <w:ind w:right="120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2022年</w:t>
      </w:r>
      <w:r>
        <w:rPr>
          <w:rFonts w:hint="eastAsia" w:ascii="仿宋_GB2312" w:hAnsi="仿宋_GB2312" w:eastAsia="仿宋_GB2312" w:cs="仿宋_GB2312"/>
          <w:color w:val="000000" w:themeColor="text1"/>
          <w:sz w:val="24"/>
          <w:szCs w:val="24"/>
          <w:u w:val="single"/>
          <w14:textFill>
            <w14:solidFill>
              <w14:schemeClr w14:val="tx1"/>
            </w14:solidFill>
          </w14:textFill>
        </w:rPr>
        <w:t>11</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日</w:t>
      </w:r>
    </w:p>
    <w:p>
      <w:pPr>
        <w:widowControl/>
        <w:spacing w:line="400" w:lineRule="exact"/>
        <w:ind w:right="480"/>
        <w:rPr>
          <w:rFonts w:ascii="仿宋_GB2312" w:hAnsi="仿宋_GB2312" w:eastAsia="仿宋_GB2312" w:cs="仿宋_GB2312"/>
          <w:sz w:val="24"/>
          <w:szCs w:val="24"/>
        </w:rPr>
      </w:pPr>
    </w:p>
    <w:p>
      <w:pPr>
        <w:keepNext/>
        <w:numPr>
          <w:ilvl w:val="0"/>
          <w:numId w:val="2"/>
        </w:numPr>
        <w:spacing w:line="400" w:lineRule="exact"/>
        <w:ind w:right="-441" w:rightChars="-210"/>
        <w:jc w:val="center"/>
        <w:outlineLvl w:val="0"/>
        <w:rPr>
          <w:rFonts w:ascii="仿宋_GB2312" w:hAnsi="Calibri" w:eastAsia="仿宋_GB2312" w:cs="Times New Roman"/>
          <w:b/>
          <w:sz w:val="32"/>
          <w:szCs w:val="32"/>
        </w:rPr>
      </w:pPr>
      <w:bookmarkStart w:id="7" w:name="_Toc130180923"/>
      <w:bookmarkStart w:id="8" w:name="_Toc130180842"/>
      <w:bookmarkStart w:id="9" w:name="_Toc238282338"/>
      <w:bookmarkStart w:id="10" w:name="_Toc334797738"/>
      <w:bookmarkStart w:id="11" w:name="_Toc130180737"/>
      <w:r>
        <w:rPr>
          <w:rFonts w:ascii="仿宋_GB2312" w:hAnsi="仿宋_GB2312" w:eastAsia="仿宋_GB2312" w:cs="仿宋_GB2312"/>
          <w:sz w:val="24"/>
          <w:szCs w:val="24"/>
        </w:rPr>
        <w:br w:type="page"/>
      </w:r>
      <w:r>
        <w:rPr>
          <w:rFonts w:hint="eastAsia" w:ascii="仿宋_GB2312" w:hAnsi="Calibri" w:eastAsia="仿宋_GB2312" w:cs="Times New Roman"/>
          <w:b/>
          <w:sz w:val="32"/>
          <w:szCs w:val="32"/>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销售中心新增物料制作采购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总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1）竞投人公司资质等相关证明文件；</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（2）竞投报价执行清单（参考附件5）；</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（3）服务响应文件，包括但不限于以下内容：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bookmarkStart w:id="21" w:name="_GoBack"/>
      <w:bookmarkEnd w:id="21"/>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项目名称：城隽雅苑北区销售中心新增物料制作采购服务项目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项目名称：城隽雅苑北区销售中心新增物料制作采购服务项目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w:t>
      </w:r>
      <w:bookmarkStart w:id="12" w:name="_Hlk119937791"/>
      <w:r>
        <w:rPr>
          <w:rFonts w:hint="eastAsia" w:ascii="仿宋_GB2312" w:hAnsi="仿宋_GB2312" w:eastAsia="仿宋_GB2312" w:cs="仿宋_GB2312"/>
          <w:color w:val="000000" w:themeColor="text1"/>
          <w:szCs w:val="21"/>
          <w14:textFill>
            <w14:solidFill>
              <w14:schemeClr w14:val="tx1"/>
            </w14:solidFill>
          </w14:textFill>
        </w:rPr>
        <w:t>广州市越秀区广电城投686产业园22楼</w:t>
      </w:r>
      <w:bookmarkEnd w:id="12"/>
      <w:r>
        <w:rPr>
          <w:rFonts w:hint="eastAsia" w:ascii="仿宋_GB2312" w:hAnsi="仿宋_GB2312" w:eastAsia="仿宋_GB2312" w:cs="仿宋_GB2312"/>
          <w:szCs w:val="21"/>
        </w:rPr>
        <w:t>。</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（2）竞投文件递交受理时间于2022年</w:t>
      </w:r>
      <w:r>
        <w:rPr>
          <w:rFonts w:hint="eastAsia"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月</w:t>
      </w: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日</w:t>
      </w:r>
      <w:r>
        <w:rPr>
          <w:rFonts w:hint="eastAsia" w:ascii="仿宋_GB2312" w:hAnsi="仿宋_GB2312" w:eastAsia="仿宋_GB2312" w:cs="仿宋_GB2312"/>
          <w:szCs w:val="21"/>
        </w:rPr>
        <w:t>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4.价格评分：</w:t>
            </w:r>
          </w:p>
          <w:p>
            <w:pPr>
              <w:widowControl/>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以通过本项目资格及符合性检查且若位于[项目限价*80%，项目限价]区间的竞投报价(不含税，下同)计算算术平均值，该算术平均值为评标基准价。竞投报价中等于或最接近于评标基准价的振价单位得 50 分，其余报价单位的报价每高于或低于评标基准价 5%，扣 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+技术评</w:t>
            </w:r>
            <w:r>
              <w:rPr>
                <w:rFonts w:hint="eastAsia" w:ascii="仿宋_GB2312" w:hAnsi="宋体" w:eastAsia="仿宋_GB2312" w:cs="宋体"/>
                <w:kern w:val="0"/>
                <w:szCs w:val="21"/>
              </w:rPr>
              <w:t>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cs="Times New Roman"/>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7"/>
      <w:bookmarkEnd w:id="8"/>
      <w:bookmarkEnd w:id="9"/>
      <w:bookmarkEnd w:id="10"/>
      <w:bookmarkEnd w:id="11"/>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13"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14" w:name="OLE_LINK3"/>
      <w:bookmarkStart w:id="15" w:name="OLE_LINK2"/>
      <w:r>
        <w:rPr>
          <w:rFonts w:hint="eastAsia" w:ascii="仿宋_GB2312" w:hAnsi="宋体" w:eastAsia="仿宋_GB2312" w:cs="宋体"/>
          <w:b/>
          <w:bCs/>
          <w:sz w:val="30"/>
          <w:szCs w:val="30"/>
        </w:rPr>
        <w:t>符合性检查表</w:t>
      </w:r>
      <w:bookmarkEnd w:id="13"/>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pStyle w:val="2"/>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pPr w:leftFromText="180" w:rightFromText="180" w:vertAnchor="text" w:horzAnchor="page" w:tblpXSpec="center" w:tblpY="130"/>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276"/>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1"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评分项目</w:t>
            </w:r>
          </w:p>
        </w:tc>
        <w:tc>
          <w:tcPr>
            <w:tcW w:w="850"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分值</w:t>
            </w:r>
          </w:p>
        </w:tc>
        <w:tc>
          <w:tcPr>
            <w:tcW w:w="1276"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评分因素</w:t>
            </w:r>
          </w:p>
        </w:tc>
        <w:tc>
          <w:tcPr>
            <w:tcW w:w="1134"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分值</w:t>
            </w:r>
          </w:p>
          <w:p>
            <w:pPr>
              <w:widowControl/>
              <w:snapToGrid w:val="0"/>
              <w:jc w:val="center"/>
              <w:rPr>
                <w:rFonts w:ascii="仿宋" w:hAnsi="仿宋" w:eastAsia="仿宋" w:cs="仿宋"/>
                <w:szCs w:val="21"/>
              </w:rPr>
            </w:pPr>
            <w:r>
              <w:rPr>
                <w:rFonts w:hint="eastAsia" w:ascii="仿宋" w:hAnsi="仿宋" w:eastAsia="仿宋" w:cs="仿宋"/>
                <w:szCs w:val="21"/>
              </w:rPr>
              <w:t>分配</w:t>
            </w:r>
          </w:p>
        </w:tc>
        <w:tc>
          <w:tcPr>
            <w:tcW w:w="4536"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01" w:type="dxa"/>
            <w:vAlign w:val="center"/>
          </w:tcPr>
          <w:p>
            <w:pPr>
              <w:jc w:val="center"/>
              <w:rPr>
                <w:rFonts w:ascii="仿宋" w:hAnsi="仿宋" w:eastAsia="仿宋" w:cs="仿宋"/>
                <w:szCs w:val="21"/>
              </w:rPr>
            </w:pPr>
            <w:r>
              <w:rPr>
                <w:rFonts w:hint="eastAsia" w:ascii="仿宋" w:hAnsi="仿宋" w:eastAsia="仿宋" w:cs="仿宋"/>
                <w:szCs w:val="21"/>
              </w:rPr>
              <w:t>价格分</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50</w:t>
            </w:r>
          </w:p>
        </w:tc>
        <w:tc>
          <w:tcPr>
            <w:tcW w:w="1276" w:type="dxa"/>
            <w:vAlign w:val="center"/>
          </w:tcPr>
          <w:p>
            <w:pPr>
              <w:jc w:val="center"/>
              <w:rPr>
                <w:rFonts w:ascii="仿宋" w:hAnsi="仿宋" w:eastAsia="仿宋" w:cs="仿宋"/>
                <w:szCs w:val="21"/>
              </w:rPr>
            </w:pPr>
            <w:r>
              <w:rPr>
                <w:rFonts w:hint="eastAsia" w:ascii="仿宋" w:hAnsi="仿宋" w:eastAsia="仿宋" w:cs="仿宋"/>
                <w:szCs w:val="21"/>
              </w:rPr>
              <w:t>价格得分</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50分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以通过本项目资格及符合性检查且若位于[项目限价*80%，项目限价]区间的竞投报价(不含税，下同)计算算术平均值，该算术平均值为评标基准价。竞投报价中等于或最接近于评标基准价的振价单位得 50 分，其余报价单位的报价每高于或低于评标基准价 5%，扣 2分未达到5%按5%扣取，得出经济分，计算过程中数据均精确到小数点后两位。凡不在本项目设置的合理报价区间范围内的报价单位得0分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01" w:type="dxa"/>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商务评分</w:t>
            </w:r>
          </w:p>
        </w:tc>
        <w:tc>
          <w:tcPr>
            <w:tcW w:w="850" w:type="dxa"/>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10</w:t>
            </w:r>
          </w:p>
        </w:tc>
        <w:tc>
          <w:tcPr>
            <w:tcW w:w="1276" w:type="dxa"/>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公司业绩及同类经验</w:t>
            </w:r>
          </w:p>
        </w:tc>
        <w:tc>
          <w:tcPr>
            <w:tcW w:w="1134" w:type="dxa"/>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10分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公司资信情况良好，服务过同类性质项目次数3次及以上得10分；服务过同类性质项目次数1-2次得5 分；未曾服务过同类性质项目得0分（提供相应合同或中标通知书等相关证明文件）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01" w:type="dxa"/>
            <w:vMerge w:val="restart"/>
            <w:vAlign w:val="center"/>
          </w:tcPr>
          <w:p>
            <w:pPr>
              <w:pStyle w:val="18"/>
              <w:numPr>
                <w:ilvl w:val="0"/>
                <w:numId w:val="0"/>
              </w:numPr>
              <w:snapToGrid w:val="0"/>
              <w:rPr>
                <w:rFonts w:ascii="仿宋" w:hAnsi="仿宋" w:eastAsia="仿宋" w:cs="仿宋"/>
                <w:sz w:val="21"/>
                <w:szCs w:val="21"/>
              </w:rPr>
            </w:pPr>
            <w:r>
              <w:rPr>
                <w:rFonts w:hint="eastAsia" w:ascii="仿宋" w:hAnsi="仿宋" w:eastAsia="仿宋" w:cs="仿宋"/>
                <w:sz w:val="21"/>
                <w:szCs w:val="21"/>
              </w:rPr>
              <w:t>技术评分</w:t>
            </w:r>
          </w:p>
        </w:tc>
        <w:tc>
          <w:tcPr>
            <w:tcW w:w="850" w:type="dxa"/>
            <w:vMerge w:val="restart"/>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40</w:t>
            </w:r>
          </w:p>
        </w:tc>
        <w:tc>
          <w:tcPr>
            <w:tcW w:w="1276"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项目的需求理解</w:t>
            </w:r>
          </w:p>
        </w:tc>
        <w:tc>
          <w:tcPr>
            <w:tcW w:w="1134"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20分</w:t>
            </w:r>
          </w:p>
        </w:tc>
        <w:tc>
          <w:tcPr>
            <w:tcW w:w="4536" w:type="dxa"/>
          </w:tcPr>
          <w:p>
            <w:pPr>
              <w:jc w:val="left"/>
              <w:rPr>
                <w:rFonts w:ascii="仿宋" w:hAnsi="仿宋" w:eastAsia="仿宋" w:cs="仿宋"/>
                <w:szCs w:val="21"/>
              </w:rPr>
            </w:pPr>
            <w:r>
              <w:rPr>
                <w:rFonts w:hint="eastAsia" w:ascii="仿宋" w:hAnsi="仿宋" w:eastAsia="仿宋" w:cs="仿宋"/>
                <w:szCs w:val="21"/>
              </w:rPr>
              <w:t>所有参选人方案横向比较，根据各参选人提供信息的详细及优质程度进行打分，优得10-20分，中得5-9分，差得0-4分。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vMerge w:val="continue"/>
            <w:vAlign w:val="center"/>
          </w:tcPr>
          <w:p>
            <w:pPr>
              <w:pStyle w:val="18"/>
              <w:numPr>
                <w:ilvl w:val="0"/>
                <w:numId w:val="0"/>
              </w:numPr>
              <w:snapToGrid w:val="0"/>
              <w:rPr>
                <w:rFonts w:ascii="仿宋" w:hAnsi="仿宋" w:eastAsia="仿宋" w:cs="仿宋"/>
                <w:sz w:val="21"/>
                <w:szCs w:val="21"/>
              </w:rPr>
            </w:pPr>
          </w:p>
        </w:tc>
        <w:tc>
          <w:tcPr>
            <w:tcW w:w="850" w:type="dxa"/>
            <w:vMerge w:val="continue"/>
            <w:vAlign w:val="center"/>
          </w:tcPr>
          <w:p>
            <w:pPr>
              <w:pStyle w:val="18"/>
              <w:numPr>
                <w:ilvl w:val="0"/>
                <w:numId w:val="0"/>
              </w:numPr>
              <w:snapToGrid w:val="0"/>
              <w:jc w:val="center"/>
              <w:rPr>
                <w:rFonts w:ascii="仿宋" w:hAnsi="仿宋" w:eastAsia="仿宋" w:cs="仿宋"/>
                <w:sz w:val="21"/>
                <w:szCs w:val="21"/>
              </w:rPr>
            </w:pPr>
          </w:p>
        </w:tc>
        <w:tc>
          <w:tcPr>
            <w:tcW w:w="1276"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项目实施团队人员配置</w:t>
            </w:r>
          </w:p>
        </w:tc>
        <w:tc>
          <w:tcPr>
            <w:tcW w:w="1134" w:type="dxa"/>
          </w:tcPr>
          <w:p>
            <w:pPr>
              <w:ind w:firstLine="210" w:firstLineChars="100"/>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5分</w:t>
            </w:r>
          </w:p>
        </w:tc>
        <w:tc>
          <w:tcPr>
            <w:tcW w:w="4536" w:type="dxa"/>
          </w:tcPr>
          <w:p>
            <w:pPr>
              <w:jc w:val="left"/>
              <w:rPr>
                <w:rFonts w:ascii="仿宋" w:hAnsi="仿宋" w:eastAsia="仿宋" w:cs="仿宋"/>
                <w:szCs w:val="21"/>
              </w:rPr>
            </w:pPr>
            <w:r>
              <w:rPr>
                <w:rFonts w:hint="eastAsia" w:ascii="仿宋" w:hAnsi="仿宋" w:eastAsia="仿宋" w:cs="仿宋"/>
                <w:szCs w:val="21"/>
              </w:rPr>
              <w:t>根据参选人提供的人员配置数量及责任划分情况进行横向比较。人员数量配置较多且责任划分明确的得5分，依次递减1分，最低得0分。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01" w:type="dxa"/>
            <w:vMerge w:val="continue"/>
            <w:vAlign w:val="center"/>
          </w:tcPr>
          <w:p>
            <w:pPr>
              <w:pStyle w:val="18"/>
              <w:numPr>
                <w:ilvl w:val="0"/>
                <w:numId w:val="0"/>
              </w:numPr>
              <w:snapToGrid w:val="0"/>
              <w:rPr>
                <w:rFonts w:ascii="仿宋" w:hAnsi="仿宋" w:eastAsia="仿宋" w:cs="仿宋"/>
                <w:sz w:val="21"/>
                <w:szCs w:val="21"/>
              </w:rPr>
            </w:pPr>
          </w:p>
        </w:tc>
        <w:tc>
          <w:tcPr>
            <w:tcW w:w="850" w:type="dxa"/>
            <w:vMerge w:val="continue"/>
            <w:vAlign w:val="center"/>
          </w:tcPr>
          <w:p>
            <w:pPr>
              <w:pStyle w:val="18"/>
              <w:numPr>
                <w:ilvl w:val="0"/>
                <w:numId w:val="0"/>
              </w:numPr>
              <w:snapToGrid w:val="0"/>
              <w:jc w:val="center"/>
              <w:rPr>
                <w:rFonts w:ascii="仿宋" w:hAnsi="仿宋" w:eastAsia="仿宋" w:cs="仿宋"/>
                <w:sz w:val="21"/>
                <w:szCs w:val="21"/>
              </w:rPr>
            </w:pPr>
          </w:p>
        </w:tc>
        <w:tc>
          <w:tcPr>
            <w:tcW w:w="1276" w:type="dxa"/>
          </w:tcPr>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响应及应急方案</w:t>
            </w:r>
          </w:p>
        </w:tc>
        <w:tc>
          <w:tcPr>
            <w:tcW w:w="1134"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5分</w:t>
            </w:r>
          </w:p>
        </w:tc>
        <w:tc>
          <w:tcPr>
            <w:tcW w:w="4536" w:type="dxa"/>
          </w:tcPr>
          <w:p>
            <w:pPr>
              <w:jc w:val="left"/>
              <w:rPr>
                <w:rFonts w:ascii="仿宋" w:hAnsi="仿宋" w:eastAsia="仿宋" w:cs="仿宋"/>
                <w:szCs w:val="21"/>
              </w:rPr>
            </w:pPr>
            <w:r>
              <w:rPr>
                <w:rFonts w:hint="eastAsia" w:ascii="仿宋" w:hAnsi="仿宋" w:eastAsia="仿宋" w:cs="仿宋"/>
                <w:szCs w:val="21"/>
              </w:rPr>
              <w:t>根据参选人提供的响应方案及应急方案进行横向比较，优得5分，中得2分，差得1分。未提供不得分。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01" w:type="dxa"/>
            <w:vMerge w:val="continue"/>
            <w:vAlign w:val="center"/>
          </w:tcPr>
          <w:p>
            <w:pPr>
              <w:pStyle w:val="18"/>
              <w:numPr>
                <w:ilvl w:val="0"/>
                <w:numId w:val="0"/>
              </w:numPr>
              <w:snapToGrid w:val="0"/>
              <w:jc w:val="center"/>
              <w:rPr>
                <w:rFonts w:ascii="仿宋" w:hAnsi="仿宋" w:eastAsia="仿宋" w:cs="仿宋"/>
                <w:sz w:val="21"/>
                <w:szCs w:val="21"/>
              </w:rPr>
            </w:pPr>
          </w:p>
        </w:tc>
        <w:tc>
          <w:tcPr>
            <w:tcW w:w="850" w:type="dxa"/>
            <w:vMerge w:val="continue"/>
            <w:vAlign w:val="center"/>
          </w:tcPr>
          <w:p>
            <w:pPr>
              <w:pStyle w:val="18"/>
              <w:numPr>
                <w:ilvl w:val="0"/>
                <w:numId w:val="0"/>
              </w:numPr>
              <w:snapToGrid w:val="0"/>
              <w:jc w:val="center"/>
              <w:rPr>
                <w:rFonts w:ascii="仿宋" w:hAnsi="仿宋" w:eastAsia="仿宋" w:cs="仿宋"/>
                <w:sz w:val="21"/>
                <w:szCs w:val="21"/>
              </w:rPr>
            </w:pPr>
          </w:p>
        </w:tc>
        <w:tc>
          <w:tcPr>
            <w:tcW w:w="1276"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售后服务计划书</w:t>
            </w:r>
          </w:p>
        </w:tc>
        <w:tc>
          <w:tcPr>
            <w:tcW w:w="1134"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10分</w:t>
            </w:r>
          </w:p>
        </w:tc>
        <w:tc>
          <w:tcPr>
            <w:tcW w:w="4536" w:type="dxa"/>
          </w:tcPr>
          <w:p>
            <w:pPr>
              <w:jc w:val="left"/>
              <w:rPr>
                <w:rFonts w:ascii="仿宋" w:hAnsi="仿宋" w:eastAsia="仿宋" w:cs="仿宋"/>
                <w:szCs w:val="21"/>
              </w:rPr>
            </w:pPr>
            <w:r>
              <w:rPr>
                <w:rFonts w:hint="eastAsia" w:ascii="仿宋" w:hAnsi="仿宋" w:eastAsia="仿宋" w:cs="仿宋"/>
                <w:szCs w:val="21"/>
              </w:rPr>
              <w:t>根据参选人所提供的售后服务计划书内容，所有参选人进行综合评价，售后服务最完善的参选人得10分，较完善的得5分，一般完善的得3分，不完善的得1分。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227" w:type="dxa"/>
            <w:gridSpan w:val="3"/>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合    计</w:t>
            </w:r>
          </w:p>
        </w:tc>
        <w:tc>
          <w:tcPr>
            <w:tcW w:w="1134" w:type="dxa"/>
            <w:vAlign w:val="center"/>
          </w:tcPr>
          <w:p>
            <w:pPr>
              <w:pStyle w:val="18"/>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100分</w:t>
            </w:r>
          </w:p>
        </w:tc>
        <w:tc>
          <w:tcPr>
            <w:tcW w:w="4536" w:type="dxa"/>
            <w:vAlign w:val="center"/>
          </w:tcPr>
          <w:p>
            <w:pPr>
              <w:pStyle w:val="18"/>
              <w:numPr>
                <w:ilvl w:val="0"/>
                <w:numId w:val="0"/>
              </w:numPr>
              <w:snapToGrid w:val="0"/>
              <w:jc w:val="center"/>
              <w:rPr>
                <w:rFonts w:ascii="仿宋" w:hAnsi="仿宋" w:eastAsia="仿宋" w:cs="仿宋"/>
                <w:sz w:val="21"/>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bookmarkEnd w:id="14"/>
    <w:bookmarkEnd w:id="15"/>
    <w:p>
      <w:pPr>
        <w:keepNext/>
        <w:keepLines/>
        <w:spacing w:before="260" w:after="260" w:line="400" w:lineRule="exact"/>
        <w:jc w:val="center"/>
        <w:outlineLvl w:val="1"/>
        <w:rPr>
          <w:rFonts w:ascii="宋体" w:hAnsi="宋体" w:eastAsia="宋体" w:cs="宋体"/>
          <w:b/>
          <w:sz w:val="32"/>
          <w:szCs w:val="32"/>
        </w:rPr>
      </w:pPr>
    </w:p>
    <w:p>
      <w:pPr>
        <w:keepNext/>
        <w:keepLines/>
        <w:spacing w:before="260" w:after="260" w:line="400" w:lineRule="exact"/>
        <w:jc w:val="center"/>
        <w:outlineLvl w:val="1"/>
        <w:rPr>
          <w:rFonts w:ascii="宋体" w:hAnsi="宋体" w:eastAsia="宋体" w:cs="宋体"/>
          <w:b/>
          <w:sz w:val="32"/>
          <w:szCs w:val="32"/>
        </w:rPr>
      </w:pPr>
    </w:p>
    <w:p>
      <w:pPr>
        <w:pStyle w:val="2"/>
      </w:pPr>
    </w:p>
    <w:p>
      <w:pPr>
        <w:pStyle w:val="2"/>
      </w:pPr>
    </w:p>
    <w:p>
      <w:pPr>
        <w:pStyle w:val="2"/>
      </w:pPr>
    </w:p>
    <w:p>
      <w:pPr>
        <w:keepNext/>
        <w:keepLines/>
        <w:spacing w:before="260" w:after="260" w:line="400" w:lineRule="exact"/>
        <w:jc w:val="center"/>
        <w:outlineLvl w:val="1"/>
        <w:rPr>
          <w:rFonts w:ascii="宋体" w:hAnsi="宋体" w:eastAsia="宋体" w:cs="宋体"/>
          <w:b/>
          <w:sz w:val="32"/>
          <w:szCs w:val="32"/>
        </w:rPr>
      </w:pPr>
    </w:p>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5"/>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技术</w:t>
            </w:r>
            <w:r>
              <w:rPr>
                <w:rFonts w:hint="eastAsia" w:ascii="仿宋_GB2312" w:hAnsi="宋体" w:eastAsia="仿宋_GB2312" w:cs="宋体"/>
                <w:kern w:val="0"/>
                <w:szCs w:val="21"/>
              </w:rPr>
              <w:t>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360" w:lineRule="auto"/>
        <w:ind w:right="-1758" w:rightChars="-837"/>
        <w:rPr>
          <w:rFonts w:ascii="微软雅黑" w:hAnsi="微软雅黑" w:eastAsia="微软雅黑" w:cs="Times New Roman"/>
          <w:b/>
          <w:bCs/>
          <w:sz w:val="36"/>
          <w:szCs w:val="36"/>
        </w:rPr>
      </w:pPr>
    </w:p>
    <w:p>
      <w:pPr>
        <w:spacing w:line="360" w:lineRule="auto"/>
        <w:rPr>
          <w:rFonts w:ascii="微软雅黑" w:hAnsi="微软雅黑" w:eastAsia="微软雅黑" w:cs="Times New Roman"/>
          <w:b/>
          <w:bCs/>
          <w:sz w:val="36"/>
          <w:szCs w:val="36"/>
        </w:rPr>
      </w:pPr>
    </w:p>
    <w:tbl>
      <w:tblPr>
        <w:tblStyle w:val="5"/>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rPr>
            </w:pPr>
          </w:p>
        </w:tc>
      </w:tr>
      <w:tr>
        <w:tblPrEx>
          <w:tblCellMar>
            <w:top w:w="0" w:type="dxa"/>
            <w:left w:w="0" w:type="dxa"/>
            <w:bottom w:w="0" w:type="dxa"/>
            <w:right w:w="0" w:type="dxa"/>
          </w:tblCellMar>
        </w:tblPrEx>
        <w:trPr>
          <w:trHeight w:val="4322" w:hRule="exact"/>
        </w:trPr>
        <w:tc>
          <w:tcPr>
            <w:tcW w:w="9073" w:type="dxa"/>
          </w:tcPr>
          <w:p>
            <w:pPr>
              <w:spacing w:line="276" w:lineRule="auto"/>
              <w:jc w:val="center"/>
              <w:rPr>
                <w:rFonts w:ascii="微软雅黑" w:hAnsi="微软雅黑" w:eastAsia="微软雅黑" w:cs="Calibri"/>
                <w:b/>
                <w:kern w:val="0"/>
                <w:sz w:val="56"/>
                <w:szCs w:val="56"/>
              </w:rPr>
            </w:pPr>
            <w:r>
              <w:rPr>
                <w:rFonts w:hint="eastAsia" w:ascii="微软雅黑" w:hAnsi="微软雅黑" w:eastAsia="微软雅黑" w:cs="Calibri"/>
                <w:b/>
                <w:kern w:val="0"/>
                <w:sz w:val="56"/>
                <w:szCs w:val="56"/>
              </w:rPr>
              <w:t>城隽雅苑北区销售中心新增物料制作</w:t>
            </w:r>
          </w:p>
          <w:p>
            <w:pPr>
              <w:spacing w:line="276"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6"/>
                <w:szCs w:val="56"/>
              </w:rPr>
              <w:t>采购服务合同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tc>
      </w:tr>
      <w:tr>
        <w:trPr>
          <w:trHeight w:val="568" w:hRule="atLeast"/>
        </w:trPr>
        <w:tc>
          <w:tcPr>
            <w:tcW w:w="9073" w:type="dxa"/>
          </w:tcPr>
          <w:p>
            <w:pPr>
              <w:widowControl/>
              <w:spacing w:line="360" w:lineRule="atLeast"/>
              <w:rPr>
                <w:rFonts w:ascii="微软雅黑" w:hAnsi="微软雅黑" w:eastAsia="微软雅黑" w:cs="Calibri"/>
                <w:kern w:val="0"/>
                <w:sz w:val="32"/>
                <w:szCs w:val="16"/>
              </w:rPr>
            </w:pPr>
          </w:p>
          <w:p>
            <w:pPr>
              <w:widowControl/>
              <w:spacing w:line="360" w:lineRule="atLeast"/>
              <w:jc w:val="center"/>
              <w:rPr>
                <w:rFonts w:ascii="微软雅黑" w:hAnsi="微软雅黑" w:eastAsia="微软雅黑" w:cs="Calibri"/>
                <w:kern w:val="0"/>
                <w:sz w:val="32"/>
                <w:szCs w:val="16"/>
              </w:rPr>
            </w:pPr>
          </w:p>
          <w:p>
            <w:pPr>
              <w:widowControl/>
              <w:spacing w:line="360" w:lineRule="atLeast"/>
              <w:jc w:val="center"/>
              <w:rPr>
                <w:rFonts w:ascii="微软雅黑" w:hAnsi="微软雅黑" w:eastAsia="微软雅黑" w:cs="Calibri"/>
                <w:b/>
                <w:kern w:val="0"/>
                <w:sz w:val="24"/>
                <w:szCs w:val="24"/>
              </w:rPr>
            </w:pPr>
            <w:r>
              <w:rPr>
                <w:rFonts w:hint="eastAsia" w:ascii="微软雅黑" w:hAnsi="微软雅黑" w:eastAsia="微软雅黑" w:cs="Calibri"/>
                <w:b/>
                <w:kern w:val="0"/>
                <w:sz w:val="24"/>
                <w:szCs w:val="24"/>
              </w:rPr>
              <w:t>广州市城壹房地产顾问有限公司</w:t>
            </w:r>
          </w:p>
          <w:p>
            <w:pPr>
              <w:widowControl/>
              <w:spacing w:line="276" w:lineRule="auto"/>
              <w:jc w:val="center"/>
              <w:rPr>
                <w:rFonts w:ascii="微软雅黑" w:hAnsi="微软雅黑" w:eastAsia="微软雅黑" w:cs="Calibri"/>
                <w:b/>
                <w:kern w:val="0"/>
                <w:sz w:val="32"/>
                <w:szCs w:val="16"/>
              </w:rPr>
            </w:pPr>
          </w:p>
        </w:tc>
      </w:tr>
    </w:tbl>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甲方：</w:t>
      </w:r>
      <w:r>
        <w:rPr>
          <w:rFonts w:ascii="微软雅黑" w:hAnsi="微软雅黑" w:eastAsia="微软雅黑" w:cs="Times New Roman"/>
          <w:b/>
          <w:bCs/>
          <w:szCs w:val="21"/>
        </w:rPr>
        <w:t xml:space="preserve"> </w:t>
      </w:r>
      <w:r>
        <w:rPr>
          <w:rFonts w:hint="eastAsia" w:ascii="微软雅黑" w:hAnsi="微软雅黑" w:eastAsia="微软雅黑" w:cs="Times New Roman"/>
          <w:b/>
          <w:bCs/>
          <w:szCs w:val="21"/>
        </w:rPr>
        <w:t>广州市城壹房地产顾问有限公司</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地址：广州市越秀区广电城投686产业园22楼</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法人代表：林海</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r>
        <w:rPr>
          <w:rFonts w:ascii="微软雅黑" w:hAnsi="微软雅黑" w:eastAsia="微软雅黑" w:cs="Times New Roman"/>
          <w:b/>
          <w:bCs/>
          <w:szCs w:val="21"/>
        </w:rPr>
        <w:t>020-26080188</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乙方：</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法人代表：</w:t>
      </w:r>
      <w:r>
        <w:rPr>
          <w:rFonts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r>
        <w:rPr>
          <w:rFonts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 xml:space="preserve">甲乙双方本着互惠互利、公平合理的原则，经友好协商，现就甲方城隽雅苑北区销售中心物料制作采购项目（以下简称“本项目”）与乙方签约如下： </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szCs w:val="21"/>
        </w:rPr>
        <w:t>第一条、项目名称及地址</w:t>
      </w:r>
    </w:p>
    <w:p>
      <w:pPr>
        <w:numPr>
          <w:ilvl w:val="0"/>
          <w:numId w:val="5"/>
        </w:num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项目名称：城隽雅苑北区销售中心新增物料制作采购项目</w:t>
      </w:r>
    </w:p>
    <w:p>
      <w:pPr>
        <w:numPr>
          <w:ilvl w:val="0"/>
          <w:numId w:val="5"/>
        </w:num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项目地址：城隽雅苑北区销售中心</w:t>
      </w:r>
    </w:p>
    <w:p>
      <w:pPr>
        <w:snapToGrid w:val="0"/>
        <w:spacing w:line="360" w:lineRule="auto"/>
        <w:jc w:val="left"/>
        <w:rPr>
          <w:rFonts w:ascii="微软雅黑" w:hAnsi="微软雅黑" w:eastAsia="微软雅黑" w:cs="Times New Roman"/>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bCs/>
          <w:szCs w:val="21"/>
        </w:rPr>
        <w:t>第二条、</w:t>
      </w:r>
      <w:r>
        <w:rPr>
          <w:rFonts w:hint="eastAsia" w:ascii="微软雅黑" w:hAnsi="微软雅黑" w:eastAsia="微软雅黑" w:cs="Times New Roman"/>
          <w:b/>
          <w:szCs w:val="21"/>
        </w:rPr>
        <w:t>工作内容</w:t>
      </w:r>
    </w:p>
    <w:p>
      <w:pPr>
        <w:snapToGrid w:val="0"/>
        <w:spacing w:line="360" w:lineRule="auto"/>
        <w:ind w:left="567" w:hanging="567" w:hangingChars="270"/>
        <w:jc w:val="left"/>
        <w:rPr>
          <w:rFonts w:ascii="微软雅黑" w:hAnsi="微软雅黑" w:eastAsia="微软雅黑" w:cs="Times New Roman"/>
          <w:szCs w:val="21"/>
        </w:rPr>
      </w:pPr>
      <w:r>
        <w:rPr>
          <w:rFonts w:hint="eastAsia" w:ascii="微软雅黑" w:hAnsi="微软雅黑" w:eastAsia="微软雅黑" w:cs="Times New Roman"/>
          <w:bCs/>
          <w:szCs w:val="21"/>
        </w:rPr>
        <w:t xml:space="preserve">2.1  </w:t>
      </w:r>
      <w:r>
        <w:rPr>
          <w:rFonts w:hint="eastAsia" w:ascii="微软雅黑" w:hAnsi="微软雅黑" w:eastAsia="微软雅黑" w:cs="Times New Roman"/>
          <w:szCs w:val="21"/>
        </w:rPr>
        <w:t>针对城隽雅苑北区共有产权住房项目，提供销售中心现场物料制作等项目服务，详见合同附件；</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2.2  负责该项目销售中心现场装饰设计及内容策划工作；</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2.3  按照甲、乙双方共同确定的设计方案，以竞投报价执行清单（附件5）内容拟定项目方案，完成本项目工作。</w:t>
      </w:r>
    </w:p>
    <w:p>
      <w:pPr>
        <w:snapToGrid w:val="0"/>
        <w:spacing w:line="360" w:lineRule="auto"/>
        <w:ind w:left="1890" w:hanging="1890" w:hangingChars="900"/>
        <w:rPr>
          <w:rFonts w:ascii="微软雅黑" w:hAnsi="微软雅黑" w:eastAsia="微软雅黑" w:cs="Times New Roman"/>
          <w:szCs w:val="21"/>
        </w:rPr>
      </w:pP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bCs/>
          <w:szCs w:val="21"/>
        </w:rPr>
        <w:t>第三条、双方的权利和义务</w:t>
      </w: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szCs w:val="21"/>
        </w:rPr>
        <w:t>甲方权利义务</w:t>
      </w:r>
      <w:r>
        <w:rPr>
          <w:rFonts w:hint="eastAsia" w:ascii="微软雅黑" w:hAnsi="微软雅黑" w:eastAsia="微软雅黑" w:cs="Times New Roman"/>
          <w:szCs w:val="21"/>
        </w:rPr>
        <w:t>：</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w:t>
      </w:r>
      <w:r>
        <w:rPr>
          <w:rFonts w:ascii="微软雅黑" w:hAnsi="微软雅黑" w:eastAsia="微软雅黑" w:cs="Times New Roman"/>
          <w:szCs w:val="21"/>
        </w:rPr>
        <w:t xml:space="preserve">.1  </w:t>
      </w:r>
      <w:r>
        <w:rPr>
          <w:rFonts w:hint="eastAsia" w:ascii="微软雅黑" w:hAnsi="微软雅黑" w:eastAsia="微软雅黑" w:cs="Times New Roman"/>
          <w:szCs w:val="21"/>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甲方有权向乙方了解本合同项目的工作进展情况和相关内容或提出相关建议；</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6</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7</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本合同约定的其他权利和义务。</w:t>
      </w:r>
    </w:p>
    <w:p>
      <w:pPr>
        <w:snapToGrid w:val="0"/>
        <w:spacing w:line="360" w:lineRule="auto"/>
        <w:ind w:left="1890" w:hanging="1891" w:hangingChars="900"/>
        <w:rPr>
          <w:rFonts w:ascii="微软雅黑" w:hAnsi="微软雅黑" w:eastAsia="微软雅黑" w:cs="Times New Roman"/>
          <w:b/>
          <w:szCs w:val="21"/>
        </w:rPr>
      </w:pPr>
      <w:r>
        <w:rPr>
          <w:rFonts w:hint="eastAsia" w:ascii="微软雅黑" w:hAnsi="微软雅黑" w:eastAsia="微软雅黑" w:cs="Times New Roman"/>
          <w:b/>
          <w:szCs w:val="21"/>
        </w:rPr>
        <w:t>乙方权利义务: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8</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按本合同规定期限和内容完成项目执行落地工作；</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9</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按本合同约定取得报酬；</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rPr>
        <w:tab/>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乙方应遵守本合同的规定开展工作，乙方所受委托的权利仅限于完成设计所必须的相关内容，不得以甲方名义从事其它任何民事经济行为；</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本合同约定的其它权利和义务。</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bCs/>
          <w:szCs w:val="21"/>
        </w:rPr>
        <w:t>第四条、服务期限</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4.1</w:t>
      </w:r>
      <w:r>
        <w:rPr>
          <w:rFonts w:ascii="微软雅黑" w:hAnsi="微软雅黑" w:eastAsia="微软雅黑" w:cs="Times New Roman"/>
          <w:szCs w:val="21"/>
        </w:rPr>
        <w:t xml:space="preserve">  </w:t>
      </w:r>
      <w:r>
        <w:rPr>
          <w:rFonts w:hint="eastAsia" w:ascii="微软雅黑" w:hAnsi="微软雅黑" w:eastAsia="微软雅黑" w:cs="Times New Roman"/>
          <w:szCs w:val="21"/>
          <w:lang w:eastAsia="zh-Hans"/>
        </w:rPr>
        <w:t>服务期限自</w:t>
      </w:r>
      <w:r>
        <w:rPr>
          <w:rFonts w:hint="eastAsia" w:ascii="微软雅黑" w:hAnsi="微软雅黑" w:eastAsia="微软雅黑" w:cs="Times New Roman"/>
          <w:szCs w:val="21"/>
        </w:rPr>
        <w:t>合同签订</w:t>
      </w:r>
      <w:r>
        <w:rPr>
          <w:rFonts w:hint="eastAsia" w:ascii="微软雅黑" w:hAnsi="微软雅黑" w:eastAsia="微软雅黑" w:cs="Times New Roman"/>
          <w:szCs w:val="21"/>
          <w:lang w:eastAsia="zh-Hans"/>
        </w:rPr>
        <w:t>之日起</w:t>
      </w:r>
      <w:r>
        <w:rPr>
          <w:rFonts w:hint="eastAsia" w:ascii="微软雅黑" w:hAnsi="微软雅黑" w:eastAsia="微软雅黑" w:cs="Times New Roman"/>
          <w:szCs w:val="21"/>
        </w:rPr>
        <w:t>30</w:t>
      </w:r>
      <w:r>
        <w:rPr>
          <w:rFonts w:hint="eastAsia" w:ascii="微软雅黑" w:hAnsi="微软雅黑" w:eastAsia="微软雅黑" w:cs="Times New Roman"/>
          <w:szCs w:val="21"/>
          <w:lang w:eastAsia="zh-Hans"/>
        </w:rPr>
        <w:t>日内。</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4.2</w:t>
      </w:r>
      <w:r>
        <w:rPr>
          <w:rFonts w:ascii="微软雅黑" w:hAnsi="微软雅黑" w:eastAsia="微软雅黑" w:cs="Times New Roman"/>
          <w:szCs w:val="21"/>
        </w:rPr>
        <w:t xml:space="preserve">  </w:t>
      </w:r>
      <w:r>
        <w:rPr>
          <w:rFonts w:hint="eastAsia" w:ascii="微软雅黑" w:hAnsi="微软雅黑" w:eastAsia="微软雅黑" w:cs="Times New Roman"/>
          <w:szCs w:val="21"/>
        </w:rPr>
        <w:t>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ascii="微软雅黑" w:hAnsi="微软雅黑" w:eastAsia="微软雅黑" w:cs="Times New Roman"/>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第五条、费用及支付方式：</w:t>
      </w:r>
    </w:p>
    <w:p>
      <w:pPr>
        <w:spacing w:line="360" w:lineRule="auto"/>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费用金额</w:t>
      </w:r>
    </w:p>
    <w:p>
      <w:pPr>
        <w:snapToGrid w:val="0"/>
        <w:spacing w:line="360" w:lineRule="auto"/>
        <w:ind w:left="556" w:leftChars="195" w:hanging="147" w:hangingChars="70"/>
        <w:rPr>
          <w:rFonts w:ascii="微软雅黑" w:hAnsi="微软雅黑" w:eastAsia="微软雅黑" w:cs="Times New Roman"/>
          <w:szCs w:val="21"/>
        </w:rPr>
      </w:pPr>
      <w:r>
        <w:rPr>
          <w:rFonts w:hint="eastAsia" w:ascii="微软雅黑" w:hAnsi="微软雅黑" w:eastAsia="微软雅黑" w:cs="Times New Roman"/>
          <w:szCs w:val="21"/>
        </w:rPr>
        <w:t>甲乙双方同意，本合同服务费用为：</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本项目采用合价包干的形式，服务费含税后金额为人民币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），其中不含税金额为人民币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），增值税为人民币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支付方式</w:t>
      </w:r>
      <w:r>
        <w:rPr>
          <w:rFonts w:hint="eastAsia" w:ascii="微软雅黑" w:hAnsi="微软雅黑" w:eastAsia="微软雅黑" w:cs="Times New Roman"/>
          <w:b/>
          <w:szCs w:val="21"/>
        </w:rPr>
        <w:t>：</w:t>
      </w:r>
      <w:r>
        <w:rPr>
          <w:rFonts w:hint="eastAsia" w:ascii="微软雅黑" w:hAnsi="微软雅黑" w:eastAsia="微软雅黑" w:cs="Times New Roman"/>
          <w:szCs w:val="21"/>
        </w:rPr>
        <w:t xml:space="preserve">项目验收之后，双方完成验收工作之日起30天内，结清所有款项，即人民币 </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pacing w:line="480" w:lineRule="auto"/>
        <w:outlineLvl w:val="2"/>
        <w:rPr>
          <w:rFonts w:ascii="微软雅黑" w:hAnsi="微软雅黑" w:eastAsia="微软雅黑" w:cs="Times New Roman"/>
          <w:szCs w:val="21"/>
        </w:rPr>
      </w:pPr>
      <w:r>
        <w:rPr>
          <w:rFonts w:hint="eastAsia" w:ascii="微软雅黑" w:hAnsi="微软雅黑" w:eastAsia="微软雅黑" w:cs="Times New Roman"/>
          <w:szCs w:val="21"/>
        </w:rPr>
        <w:t>5.2 乙</w:t>
      </w:r>
      <w:r>
        <w:rPr>
          <w:rFonts w:ascii="微软雅黑" w:hAnsi="微软雅黑" w:eastAsia="微软雅黑" w:cs="Times New Roman"/>
          <w:szCs w:val="21"/>
        </w:rPr>
        <w:t>方</w:t>
      </w:r>
      <w:r>
        <w:rPr>
          <w:rFonts w:hint="eastAsia" w:ascii="微软雅黑" w:hAnsi="微软雅黑" w:eastAsia="微软雅黑" w:cs="Times New Roman"/>
          <w:szCs w:val="21"/>
        </w:rPr>
        <w:t>需</w:t>
      </w:r>
      <w:r>
        <w:rPr>
          <w:rFonts w:ascii="微软雅黑" w:hAnsi="微软雅黑" w:eastAsia="微软雅黑" w:cs="Times New Roman"/>
          <w:szCs w:val="21"/>
        </w:rPr>
        <w:t>向</w:t>
      </w:r>
      <w:r>
        <w:rPr>
          <w:rFonts w:hint="eastAsia" w:ascii="微软雅黑" w:hAnsi="微软雅黑" w:eastAsia="微软雅黑" w:cs="Times New Roman"/>
          <w:szCs w:val="21"/>
        </w:rPr>
        <w:t>甲</w:t>
      </w:r>
      <w:r>
        <w:rPr>
          <w:rFonts w:ascii="微软雅黑" w:hAnsi="微软雅黑" w:eastAsia="微软雅黑" w:cs="Times New Roman"/>
          <w:szCs w:val="21"/>
        </w:rPr>
        <w:t>方开具结算金额的增值税</w:t>
      </w:r>
      <w:r>
        <w:rPr>
          <w:rFonts w:hint="eastAsia" w:ascii="微软雅黑" w:hAnsi="微软雅黑" w:eastAsia="微软雅黑" w:cs="Times New Roman"/>
          <w:szCs w:val="21"/>
        </w:rPr>
        <w:t>专用</w:t>
      </w:r>
      <w:r>
        <w:rPr>
          <w:rFonts w:ascii="微软雅黑" w:hAnsi="微软雅黑" w:eastAsia="微软雅黑" w:cs="Times New Roman"/>
          <w:szCs w:val="21"/>
        </w:rPr>
        <w:t>发票，</w:t>
      </w:r>
      <w:r>
        <w:rPr>
          <w:rFonts w:hint="eastAsia" w:ascii="微软雅黑" w:hAnsi="微软雅黑" w:eastAsia="微软雅黑" w:cs="Times New Roman"/>
          <w:szCs w:val="21"/>
        </w:rPr>
        <w:t>甲</w:t>
      </w:r>
      <w:r>
        <w:rPr>
          <w:rFonts w:ascii="微软雅黑" w:hAnsi="微软雅黑" w:eastAsia="微软雅黑" w:cs="Times New Roman"/>
          <w:szCs w:val="21"/>
        </w:rPr>
        <w:t>方在收到</w:t>
      </w:r>
      <w:r>
        <w:rPr>
          <w:rFonts w:hint="eastAsia" w:ascii="微软雅黑" w:hAnsi="微软雅黑" w:eastAsia="微软雅黑" w:cs="Times New Roman"/>
          <w:szCs w:val="21"/>
        </w:rPr>
        <w:t>乙</w:t>
      </w:r>
      <w:r>
        <w:rPr>
          <w:rFonts w:ascii="微软雅黑" w:hAnsi="微软雅黑" w:eastAsia="微软雅黑" w:cs="Times New Roman"/>
          <w:szCs w:val="21"/>
        </w:rPr>
        <w:t>方增值税</w:t>
      </w:r>
      <w:r>
        <w:rPr>
          <w:rFonts w:hint="eastAsia" w:ascii="微软雅黑" w:hAnsi="微软雅黑" w:eastAsia="微软雅黑" w:cs="Times New Roman"/>
          <w:szCs w:val="21"/>
        </w:rPr>
        <w:t>专用</w:t>
      </w:r>
      <w:r>
        <w:rPr>
          <w:rFonts w:ascii="微软雅黑" w:hAnsi="微软雅黑" w:eastAsia="微软雅黑" w:cs="Times New Roman"/>
          <w:szCs w:val="21"/>
        </w:rPr>
        <w:t>发票后</w:t>
      </w:r>
      <w:r>
        <w:rPr>
          <w:rFonts w:hint="eastAsia" w:ascii="微软雅黑" w:hAnsi="微软雅黑" w:eastAsia="微软雅黑" w:cs="Times New Roman"/>
          <w:szCs w:val="21"/>
        </w:rPr>
        <w:t>，甲</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方</w:t>
      </w:r>
      <w:r>
        <w:rPr>
          <w:rFonts w:ascii="微软雅黑" w:hAnsi="微软雅黑" w:eastAsia="微软雅黑" w:cs="Times New Roman"/>
          <w:szCs w:val="21"/>
        </w:rPr>
        <w:t>将根据双方约定的结算金额打入</w:t>
      </w:r>
      <w:r>
        <w:rPr>
          <w:rFonts w:hint="eastAsia" w:ascii="微软雅黑" w:hAnsi="微软雅黑" w:eastAsia="微软雅黑" w:cs="Times New Roman"/>
          <w:szCs w:val="21"/>
        </w:rPr>
        <w:t>乙</w:t>
      </w:r>
      <w:r>
        <w:rPr>
          <w:rFonts w:ascii="微软雅黑" w:hAnsi="微软雅黑" w:eastAsia="微软雅黑" w:cs="Times New Roman"/>
          <w:szCs w:val="21"/>
        </w:rPr>
        <w:t>方指定账户。发票的开具主体要与合同签约主体和营业执照主体保持一致。如果由于</w:t>
      </w:r>
      <w:r>
        <w:rPr>
          <w:rFonts w:hint="eastAsia" w:ascii="微软雅黑" w:hAnsi="微软雅黑" w:eastAsia="微软雅黑" w:cs="Times New Roman"/>
          <w:szCs w:val="21"/>
        </w:rPr>
        <w:t>乙</w:t>
      </w:r>
      <w:r>
        <w:rPr>
          <w:rFonts w:ascii="微软雅黑" w:hAnsi="微软雅黑" w:eastAsia="微软雅黑" w:cs="Times New Roman"/>
          <w:szCs w:val="21"/>
        </w:rPr>
        <w:t>方提供账号信息有误，导致</w:t>
      </w:r>
      <w:r>
        <w:rPr>
          <w:rFonts w:hint="eastAsia" w:ascii="微软雅黑" w:hAnsi="微软雅黑" w:eastAsia="微软雅黑" w:cs="Times New Roman"/>
          <w:szCs w:val="21"/>
        </w:rPr>
        <w:t>甲</w:t>
      </w:r>
      <w:r>
        <w:rPr>
          <w:rFonts w:ascii="微软雅黑" w:hAnsi="微软雅黑" w:eastAsia="微软雅黑" w:cs="Times New Roman"/>
          <w:szCs w:val="21"/>
        </w:rPr>
        <w:t>方付款失败或延迟付款的，应由</w:t>
      </w:r>
      <w:r>
        <w:rPr>
          <w:rFonts w:hint="eastAsia" w:ascii="微软雅黑" w:hAnsi="微软雅黑" w:eastAsia="微软雅黑" w:cs="Times New Roman"/>
          <w:szCs w:val="21"/>
        </w:rPr>
        <w:t>乙</w:t>
      </w:r>
      <w:r>
        <w:rPr>
          <w:rFonts w:ascii="微软雅黑" w:hAnsi="微软雅黑" w:eastAsia="微软雅黑" w:cs="Times New Roman"/>
          <w:szCs w:val="21"/>
        </w:rPr>
        <w:t>方自行承担全部责任。</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甲方应当将以上费用存入乙方指定账户，乙方因履行本合同所收取的服务费用而产生的税费由乙方自行支付。</w:t>
      </w:r>
    </w:p>
    <w:tbl>
      <w:tblPr>
        <w:tblStyle w:val="5"/>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帐  号：</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p>
        </w:tc>
      </w:tr>
    </w:tbl>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第六条、工作成果验收</w:t>
      </w:r>
    </w:p>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6.1 物料制作完成情况应按照合同要求制定项目验收表，经甲方审核验收，主要从装饰设</w:t>
      </w:r>
    </w:p>
    <w:p>
      <w:pPr>
        <w:snapToGrid w:val="0"/>
        <w:spacing w:line="360" w:lineRule="auto"/>
        <w:ind w:firstLine="420" w:firstLineChars="200"/>
        <w:jc w:val="left"/>
        <w:rPr>
          <w:rFonts w:ascii="微软雅黑" w:hAnsi="微软雅黑" w:eastAsia="微软雅黑" w:cs="Times New Roman"/>
          <w:szCs w:val="21"/>
        </w:rPr>
      </w:pPr>
      <w:r>
        <w:rPr>
          <w:rFonts w:hint="eastAsia" w:ascii="微软雅黑" w:hAnsi="微软雅黑" w:eastAsia="微软雅黑" w:cs="Times New Roman"/>
          <w:szCs w:val="21"/>
        </w:rPr>
        <w:t>计、内容策划及整体呈现等方面进行审核，最终审核结果以甲、乙双方在验收表签章落款为准。</w:t>
      </w:r>
    </w:p>
    <w:p>
      <w:pPr>
        <w:snapToGrid w:val="0"/>
        <w:spacing w:line="360" w:lineRule="auto"/>
        <w:jc w:val="left"/>
        <w:rPr>
          <w:rFonts w:ascii="微软雅黑" w:hAnsi="微软雅黑" w:eastAsia="微软雅黑" w:cs="Times New Roman"/>
          <w:szCs w:val="21"/>
        </w:rPr>
      </w:pPr>
      <w:r>
        <w:rPr>
          <w:rFonts w:ascii="微软雅黑" w:hAnsi="微软雅黑" w:eastAsia="微软雅黑" w:cs="Times New Roman"/>
          <w:szCs w:val="21"/>
        </w:rPr>
        <w:t>6.2  乙方保证有合法的资质及能力履行本合同项下义务，保证提供</w:t>
      </w:r>
      <w:r>
        <w:rPr>
          <w:rFonts w:hint="eastAsia" w:ascii="微软雅黑" w:hAnsi="微软雅黑" w:eastAsia="微软雅黑" w:cs="Times New Roman"/>
          <w:szCs w:val="21"/>
          <w:lang w:eastAsia="zh-Hans"/>
        </w:rPr>
        <w:t>成果</w:t>
      </w:r>
      <w:r>
        <w:rPr>
          <w:rFonts w:ascii="微软雅黑" w:hAnsi="微软雅黑" w:eastAsia="微软雅黑" w:cs="Times New Roman"/>
          <w:szCs w:val="21"/>
        </w:rPr>
        <w:t>不侵犯任何第三方</w:t>
      </w:r>
    </w:p>
    <w:p>
      <w:pPr>
        <w:snapToGrid w:val="0"/>
        <w:spacing w:line="360" w:lineRule="auto"/>
        <w:ind w:left="399" w:leftChars="190"/>
        <w:jc w:val="left"/>
        <w:rPr>
          <w:rFonts w:ascii="微软雅黑" w:hAnsi="微软雅黑" w:eastAsia="微软雅黑" w:cs="Times New Roman"/>
          <w:szCs w:val="21"/>
        </w:rPr>
      </w:pPr>
      <w:r>
        <w:rPr>
          <w:rFonts w:ascii="微软雅黑" w:hAnsi="微软雅黑" w:eastAsia="微软雅黑" w:cs="Times New Roman"/>
          <w:szCs w:val="21"/>
        </w:rPr>
        <w:t>的任何权利，否则乙方应赔偿由此给甲方造成的一切损失（包括但不限于律师费、诉讼费、甲方向第三方支付的赔偿金、罚款等）。</w:t>
      </w:r>
    </w:p>
    <w:p>
      <w:pPr>
        <w:snapToGrid w:val="0"/>
        <w:spacing w:line="360" w:lineRule="auto"/>
        <w:ind w:firstLine="420" w:firstLineChars="200"/>
        <w:jc w:val="left"/>
        <w:rPr>
          <w:rFonts w:ascii="微软雅黑" w:hAnsi="微软雅黑" w:eastAsia="微软雅黑" w:cs="Times New Roman"/>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第七条、保密条款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7</w:t>
      </w:r>
      <w:r>
        <w:rPr>
          <w:rFonts w:ascii="微软雅黑" w:hAnsi="微软雅黑" w:eastAsia="微软雅黑" w:cs="Arial"/>
          <w:szCs w:val="21"/>
        </w:rPr>
        <w:t xml:space="preserve">.1  </w:t>
      </w:r>
      <w:r>
        <w:rPr>
          <w:rFonts w:hint="eastAsia" w:ascii="微软雅黑" w:hAnsi="微软雅黑" w:eastAsia="微软雅黑" w:cs="Arial"/>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7</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本条在本合同终止或解除后仍继续有效。</w:t>
      </w:r>
    </w:p>
    <w:p>
      <w:pPr>
        <w:snapToGrid w:val="0"/>
        <w:spacing w:line="276"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第八条 适用法律和争议解决</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8</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本合同适用中华人民共和国法律。</w:t>
      </w:r>
    </w:p>
    <w:p>
      <w:pPr>
        <w:snapToGrid w:val="0"/>
        <w:spacing w:line="360" w:lineRule="auto"/>
        <w:ind w:left="567" w:hanging="567" w:hangingChars="270"/>
        <w:rPr>
          <w:rFonts w:ascii="微软雅黑" w:hAnsi="微软雅黑" w:eastAsia="微软雅黑" w:cs="Arial"/>
          <w:bCs/>
          <w:szCs w:val="21"/>
        </w:rPr>
      </w:pPr>
      <w:r>
        <w:rPr>
          <w:rFonts w:hint="eastAsia" w:ascii="微软雅黑" w:hAnsi="微软雅黑" w:eastAsia="微软雅黑" w:cs="Times New Roman"/>
          <w:szCs w:val="21"/>
        </w:rPr>
        <w:t>8</w:t>
      </w:r>
      <w:r>
        <w:rPr>
          <w:rFonts w:ascii="微软雅黑" w:hAnsi="微软雅黑" w:eastAsia="微软雅黑" w:cs="Times New Roman"/>
          <w:szCs w:val="21"/>
        </w:rPr>
        <w:t>.</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第九条、违约责任：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9</w:t>
      </w:r>
      <w:r>
        <w:rPr>
          <w:rFonts w:ascii="微软雅黑" w:hAnsi="微软雅黑" w:eastAsia="微软雅黑" w:cs="Arial"/>
          <w:szCs w:val="21"/>
        </w:rPr>
        <w:t>.</w:t>
      </w:r>
      <w:r>
        <w:rPr>
          <w:rFonts w:hint="eastAsia" w:ascii="微软雅黑" w:hAnsi="微软雅黑" w:eastAsia="微软雅黑" w:cs="Arial"/>
          <w:szCs w:val="21"/>
        </w:rPr>
        <w:t>1</w:t>
      </w:r>
      <w:r>
        <w:rPr>
          <w:rFonts w:ascii="微软雅黑" w:hAnsi="微软雅黑" w:eastAsia="微软雅黑" w:cs="Arial"/>
          <w:szCs w:val="21"/>
        </w:rPr>
        <w:t xml:space="preserve"> </w:t>
      </w:r>
      <w:r>
        <w:rPr>
          <w:rFonts w:hint="eastAsia" w:ascii="微软雅黑" w:hAnsi="微软雅黑" w:eastAsia="微软雅黑" w:cs="Arial"/>
          <w:szCs w:val="21"/>
        </w:rPr>
        <w:t xml:space="preserve"> 乙方必须按双方约定的时间、内容完成合同规定的工作。任何一方如需变更服务内容，必须经过对方的书面同意。但经过甲方认可或推定认可的设计内容，甲方不应再以设计内容不符合合同约定为由抗辩。</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9</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 xml:space="preserve"> 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9</w:t>
      </w:r>
      <w:r>
        <w:rPr>
          <w:rFonts w:ascii="微软雅黑" w:hAnsi="微软雅黑" w:eastAsia="微软雅黑" w:cs="Times New Roman"/>
          <w:szCs w:val="21"/>
        </w:rPr>
        <w:t>.</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 xml:space="preserve"> 甲方必须按照合同约定的时限向乙方付款，否则</w:t>
      </w:r>
      <w:r>
        <w:rPr>
          <w:rFonts w:hint="eastAsia" w:ascii="微软雅黑" w:hAnsi="微软雅黑" w:eastAsia="微软雅黑" w:cs="Arial"/>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9</w:t>
      </w:r>
      <w:r>
        <w:rPr>
          <w:rFonts w:ascii="微软雅黑" w:hAnsi="微软雅黑" w:eastAsia="微软雅黑" w:cs="Arial"/>
          <w:szCs w:val="21"/>
        </w:rPr>
        <w:t>.</w:t>
      </w:r>
      <w:r>
        <w:rPr>
          <w:rFonts w:hint="eastAsia" w:ascii="微软雅黑" w:hAnsi="微软雅黑" w:eastAsia="微软雅黑" w:cs="Arial"/>
          <w:szCs w:val="21"/>
        </w:rPr>
        <w:t>4</w:t>
      </w:r>
      <w:r>
        <w:rPr>
          <w:rFonts w:ascii="微软雅黑" w:hAnsi="微软雅黑" w:eastAsia="微软雅黑" w:cs="Arial"/>
          <w:szCs w:val="21"/>
        </w:rPr>
        <w:t xml:space="preserve"> </w:t>
      </w:r>
      <w:r>
        <w:rPr>
          <w:rFonts w:hint="eastAsia" w:ascii="微软雅黑" w:hAnsi="微软雅黑" w:eastAsia="微软雅黑" w:cs="Arial"/>
          <w:szCs w:val="21"/>
        </w:rPr>
        <w:t xml:space="preserve"> 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9</w:t>
      </w:r>
      <w:r>
        <w:rPr>
          <w:rFonts w:ascii="微软雅黑" w:hAnsi="微软雅黑" w:eastAsia="微软雅黑" w:cs="Arial"/>
          <w:szCs w:val="21"/>
        </w:rPr>
        <w:t>.</w:t>
      </w:r>
      <w:r>
        <w:rPr>
          <w:rFonts w:hint="eastAsia" w:ascii="微软雅黑" w:hAnsi="微软雅黑" w:eastAsia="微软雅黑" w:cs="Arial"/>
          <w:szCs w:val="21"/>
        </w:rPr>
        <w:t xml:space="preserve">5 </w:t>
      </w:r>
      <w:r>
        <w:rPr>
          <w:rFonts w:ascii="微软雅黑" w:hAnsi="微软雅黑" w:eastAsia="微软雅黑" w:cs="Arial"/>
          <w:szCs w:val="21"/>
        </w:rPr>
        <w:t xml:space="preserve"> </w:t>
      </w:r>
      <w:r>
        <w:rPr>
          <w:rFonts w:hint="eastAsia" w:ascii="微软雅黑" w:hAnsi="微软雅黑" w:eastAsia="微软雅黑" w:cs="Arial"/>
          <w:szCs w:val="21"/>
        </w:rPr>
        <w:t>乙方在本协议下承担的责任总和，不应超过乙方在本协议下收取的服务费。</w:t>
      </w:r>
    </w:p>
    <w:p>
      <w:pPr>
        <w:snapToGrid w:val="0"/>
        <w:spacing w:line="360"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第十条、如发生下列情况之一，本合同可以变更或终止：</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（一）双方协商一致，同意变更或终止合同；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（二）一方在约定期限内没有履行合同，在被允许延迟履行的合理期限内仍未履行合同，则</w:t>
      </w:r>
    </w:p>
    <w:p>
      <w:pPr>
        <w:snapToGrid w:val="0"/>
        <w:spacing w:line="360" w:lineRule="auto"/>
        <w:ind w:firstLine="630" w:firstLineChars="300"/>
        <w:rPr>
          <w:rFonts w:ascii="微软雅黑" w:hAnsi="微软雅黑" w:eastAsia="微软雅黑" w:cs="Arial"/>
          <w:szCs w:val="21"/>
        </w:rPr>
      </w:pPr>
      <w:r>
        <w:rPr>
          <w:rFonts w:hint="eastAsia" w:ascii="微软雅黑" w:hAnsi="微软雅黑" w:eastAsia="微软雅黑" w:cs="Arial"/>
          <w:szCs w:val="21"/>
        </w:rPr>
        <w:t>另一方有权以书面通知的方式单方解除合同；</w:t>
      </w:r>
    </w:p>
    <w:p>
      <w:pPr>
        <w:snapToGrid w:val="0"/>
        <w:spacing w:line="360" w:lineRule="auto"/>
        <w:ind w:left="630" w:hanging="630" w:hangingChars="300"/>
        <w:rPr>
          <w:rFonts w:ascii="微软雅黑" w:hAnsi="微软雅黑" w:eastAsia="微软雅黑" w:cs="Arial"/>
          <w:szCs w:val="21"/>
        </w:rPr>
      </w:pPr>
      <w:r>
        <w:rPr>
          <w:rFonts w:hint="eastAsia" w:ascii="微软雅黑" w:hAnsi="微软雅黑" w:eastAsia="微软雅黑" w:cs="Arial"/>
          <w:szCs w:val="21"/>
        </w:rPr>
        <w:t>（三）一方违反合同的约定，在被书面通知更正其违约行为的期限内仍未更正，则另一方有权以书面通知的方式单方解除合同；</w:t>
      </w:r>
    </w:p>
    <w:p>
      <w:pPr>
        <w:snapToGrid w:val="0"/>
        <w:spacing w:line="360" w:lineRule="auto"/>
        <w:ind w:left="630" w:hanging="630" w:hangingChars="300"/>
        <w:rPr>
          <w:rFonts w:ascii="微软雅黑" w:hAnsi="微软雅黑" w:eastAsia="微软雅黑" w:cs="Arial"/>
          <w:szCs w:val="21"/>
        </w:rPr>
      </w:pPr>
      <w:r>
        <w:rPr>
          <w:rFonts w:hint="eastAsia" w:ascii="微软雅黑" w:hAnsi="微软雅黑" w:eastAsia="微软雅黑" w:cs="Arial"/>
          <w:szCs w:val="21"/>
        </w:rPr>
        <w:t>（四）如遇不可抗力事件，且不可抗力持续超过60日的，则任何一方可书面通知对方解除合同；</w:t>
      </w:r>
    </w:p>
    <w:p>
      <w:pPr>
        <w:snapToGrid w:val="0"/>
        <w:spacing w:line="360" w:lineRule="auto"/>
        <w:ind w:left="630" w:hanging="630" w:hangingChars="300"/>
        <w:rPr>
          <w:rFonts w:ascii="微软雅黑" w:hAnsi="微软雅黑" w:eastAsia="微软雅黑" w:cs="Arial"/>
          <w:szCs w:val="21"/>
        </w:rPr>
      </w:pPr>
      <w:r>
        <w:rPr>
          <w:rFonts w:hint="eastAsia" w:ascii="微软雅黑" w:hAnsi="微软雅黑" w:eastAsia="微软雅黑" w:cs="Arial"/>
          <w:szCs w:val="21"/>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（六）法律规定的其它情形。</w:t>
      </w:r>
    </w:p>
    <w:p>
      <w:pPr>
        <w:rPr>
          <w:rFonts w:ascii="微软雅黑" w:hAnsi="微软雅黑" w:eastAsia="微软雅黑" w:cs="Times New Roman"/>
          <w:szCs w:val="20"/>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第十一条、不可抗力：</w:t>
      </w:r>
    </w:p>
    <w:p>
      <w:pPr>
        <w:snapToGrid w:val="0"/>
        <w:spacing w:line="360" w:lineRule="auto"/>
        <w:ind w:left="708" w:hanging="707" w:hangingChars="337"/>
        <w:rPr>
          <w:rFonts w:ascii="微软雅黑" w:hAnsi="微软雅黑" w:eastAsia="微软雅黑" w:cs="Arial"/>
          <w:szCs w:val="21"/>
        </w:rPr>
      </w:pPr>
      <w:r>
        <w:rPr>
          <w:rFonts w:hint="eastAsia" w:ascii="微软雅黑" w:hAnsi="微软雅黑" w:eastAsia="微软雅黑" w:cs="Arial"/>
          <w:szCs w:val="21"/>
        </w:rPr>
        <w:t>11.1  本合同有效期内，因水灾、地震、海啸等自然灾害、火灾、战争、罢工或国家法律政策变更等人力不可抗拒的因素，造成本合同及其补充协议内容部分或全部不能履行，双方应协商延期履行或解除合同。</w:t>
      </w:r>
    </w:p>
    <w:p>
      <w:pPr>
        <w:snapToGrid w:val="0"/>
        <w:spacing w:line="360"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第十二条、通知和联系人</w:t>
      </w:r>
    </w:p>
    <w:p>
      <w:pPr>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12.1  甲、乙方发送通知的方法，如用传真、电子邮件通知时，凡涉及双方权利、义务的，应随之以书面形式通知</w:t>
      </w:r>
      <w:r>
        <w:rPr>
          <w:rFonts w:hint="eastAsia" w:ascii="微软雅黑" w:hAnsi="微软雅黑" w:eastAsia="微软雅黑" w:cs="Times New Roman"/>
          <w:szCs w:val="21"/>
        </w:rPr>
        <w:t>，</w:t>
      </w:r>
      <w:r>
        <w:rPr>
          <w:rFonts w:hint="eastAsia" w:ascii="微软雅黑" w:hAnsi="微软雅黑" w:eastAsia="微软雅黑" w:cs="Arial"/>
          <w:szCs w:val="21"/>
        </w:rPr>
        <w:t xml:space="preserve">并以双方盖章或指定的授权委托人签字确认为准。合同中所列的联系方式即为双方有效的联系方式，如若更改，须及时用书面通知对方。凡按各方最后地址等联系方式送达的通知或其他有关文件均视为有效送达。 </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12.2  以专人递送时，签收日即为有效送达日，以邮寄方式递送时，以投递之日起第三日视为已送达。</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Cs/>
          <w:szCs w:val="21"/>
        </w:rPr>
      </w:pPr>
      <w:r>
        <w:rPr>
          <w:rFonts w:hint="eastAsia" w:ascii="微软雅黑" w:hAnsi="微软雅黑" w:eastAsia="微软雅黑" w:cs="Arial"/>
          <w:b/>
          <w:bCs/>
          <w:szCs w:val="21"/>
        </w:rPr>
        <w:t>第十三条、</w:t>
      </w:r>
      <w:r>
        <w:rPr>
          <w:rFonts w:hint="eastAsia" w:ascii="微软雅黑" w:hAnsi="微软雅黑" w:eastAsia="微软雅黑" w:cs="Arial"/>
          <w:bCs/>
          <w:szCs w:val="21"/>
        </w:rPr>
        <w:t>本合同自甲乙双方盖章后生效。本合同一式陆份，双方各执叁份，具有同等法律</w:t>
      </w:r>
    </w:p>
    <w:p>
      <w:pPr>
        <w:snapToGrid w:val="0"/>
        <w:spacing w:line="360" w:lineRule="auto"/>
        <w:ind w:firstLine="1050" w:firstLineChars="500"/>
        <w:rPr>
          <w:rFonts w:ascii="微软雅黑" w:hAnsi="微软雅黑" w:eastAsia="微软雅黑" w:cs="Arial"/>
          <w:bCs/>
          <w:szCs w:val="21"/>
        </w:rPr>
      </w:pPr>
      <w:r>
        <w:rPr>
          <w:rFonts w:hint="eastAsia" w:ascii="微软雅黑" w:hAnsi="微软雅黑" w:eastAsia="微软雅黑" w:cs="Arial"/>
          <w:bCs/>
          <w:szCs w:val="21"/>
        </w:rPr>
        <w:t>效力。</w:t>
      </w: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（以下无正文）</w:t>
      </w: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Cs/>
          <w:szCs w:val="21"/>
        </w:rPr>
      </w:pP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甲方（盖章）：广州市城壹房地产顾问有限公司</w:t>
      </w: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授权代表（签字）：</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乙方（盖章）：</w:t>
      </w:r>
      <w:r>
        <w:rPr>
          <w:rFonts w:ascii="微软雅黑" w:hAnsi="微软雅黑" w:eastAsia="微软雅黑" w:cs="Arial"/>
          <w:b/>
          <w:bCs/>
          <w:szCs w:val="21"/>
        </w:rPr>
        <w:t xml:space="preserve"> </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授权代表（签字）：</w:t>
      </w:r>
    </w:p>
    <w:p>
      <w:pPr>
        <w:rPr>
          <w:rFonts w:ascii="微软雅黑" w:hAnsi="微软雅黑" w:eastAsia="微软雅黑" w:cs="Arial"/>
          <w:b/>
          <w:bCs/>
          <w:szCs w:val="21"/>
        </w:rPr>
      </w:pPr>
      <w:r>
        <w:rPr>
          <w:rFonts w:hint="eastAsia" w:ascii="微软雅黑" w:hAnsi="微软雅黑" w:eastAsia="微软雅黑" w:cs="Arial"/>
          <w:b/>
          <w:bCs/>
          <w:szCs w:val="21"/>
        </w:rPr>
        <w:t xml:space="preserve">签订日期：      年     月     日  </w:t>
      </w:r>
    </w:p>
    <w:p>
      <w:pPr>
        <w:rPr>
          <w:rFonts w:ascii="微软雅黑" w:hAnsi="微软雅黑" w:eastAsia="微软雅黑" w:cs="Arial"/>
          <w:b/>
          <w:bCs/>
          <w:szCs w:val="21"/>
        </w:rPr>
      </w:pPr>
    </w:p>
    <w:p>
      <w:pPr>
        <w:pStyle w:val="2"/>
        <w:jc w:val="both"/>
      </w:pPr>
    </w:p>
    <w:p>
      <w:pPr>
        <w:pStyle w:val="2"/>
        <w:jc w:val="both"/>
      </w:pPr>
    </w:p>
    <w:p>
      <w:pPr>
        <w:jc w:val="center"/>
      </w:pPr>
    </w:p>
    <w:p>
      <w:pPr>
        <w:pStyle w:val="2"/>
      </w:pPr>
    </w:p>
    <w:p>
      <w:pPr>
        <w:pStyle w:val="2"/>
        <w:jc w:val="left"/>
        <w:rPr>
          <w:rFonts w:ascii="微软雅黑" w:hAnsi="微软雅黑" w:eastAsia="微软雅黑"/>
          <w:sz w:val="21"/>
          <w:szCs w:val="22"/>
        </w:rPr>
      </w:pPr>
      <w:r>
        <w:rPr>
          <w:rFonts w:hint="eastAsia" w:ascii="微软雅黑" w:hAnsi="微软雅黑" w:eastAsia="微软雅黑"/>
          <w:sz w:val="21"/>
          <w:szCs w:val="22"/>
        </w:rPr>
        <w:t>附件1：</w:t>
      </w:r>
      <w:r>
        <w:rPr>
          <w:rFonts w:hint="eastAsia" w:ascii="微软雅黑" w:hAnsi="微软雅黑" w:eastAsia="微软雅黑" w:cs="宋体"/>
          <w:kern w:val="0"/>
          <w:sz w:val="21"/>
          <w:szCs w:val="21"/>
        </w:rPr>
        <w:t>城隽雅苑北区销售中心新增制作服务采购清单</w:t>
      </w:r>
    </w:p>
    <w:tbl>
      <w:tblPr>
        <w:tblStyle w:val="5"/>
        <w:tblW w:w="10491" w:type="dxa"/>
        <w:tblInd w:w="-998" w:type="dxa"/>
        <w:tblLayout w:type="autofit"/>
        <w:tblCellMar>
          <w:top w:w="0" w:type="dxa"/>
          <w:left w:w="108" w:type="dxa"/>
          <w:bottom w:w="0" w:type="dxa"/>
          <w:right w:w="108" w:type="dxa"/>
        </w:tblCellMar>
      </w:tblPr>
      <w:tblGrid>
        <w:gridCol w:w="533"/>
        <w:gridCol w:w="1614"/>
        <w:gridCol w:w="1377"/>
        <w:gridCol w:w="2878"/>
        <w:gridCol w:w="639"/>
        <w:gridCol w:w="457"/>
        <w:gridCol w:w="535"/>
        <w:gridCol w:w="712"/>
        <w:gridCol w:w="1746"/>
      </w:tblGrid>
      <w:tr>
        <w:tblPrEx>
          <w:tblCellMar>
            <w:top w:w="0" w:type="dxa"/>
            <w:left w:w="108" w:type="dxa"/>
            <w:bottom w:w="0" w:type="dxa"/>
            <w:right w:w="108" w:type="dxa"/>
          </w:tblCellMar>
        </w:tblPrEx>
        <w:trPr>
          <w:trHeight w:val="536" w:hRule="atLeast"/>
        </w:trPr>
        <w:tc>
          <w:tcPr>
            <w:tcW w:w="10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城隽雅苑北区销售中心新增制作服务采购清单</w:t>
            </w:r>
          </w:p>
        </w:tc>
      </w:tr>
      <w:tr>
        <w:tblPrEx>
          <w:tblCellMar>
            <w:top w:w="0" w:type="dxa"/>
            <w:left w:w="108" w:type="dxa"/>
            <w:bottom w:w="0" w:type="dxa"/>
            <w:right w:w="108" w:type="dxa"/>
          </w:tblCellMar>
        </w:tblPrEx>
        <w:trPr>
          <w:trHeight w:val="519"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设计</w:t>
            </w:r>
          </w:p>
        </w:tc>
      </w:tr>
      <w:tr>
        <w:tblPrEx>
          <w:tblCellMar>
            <w:top w:w="0" w:type="dxa"/>
            <w:left w:w="108" w:type="dxa"/>
            <w:bottom w:w="0" w:type="dxa"/>
            <w:right w:w="108" w:type="dxa"/>
          </w:tblCellMar>
        </w:tblPrEx>
        <w:trPr>
          <w:trHeight w:val="4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序号</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品名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内容说明</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单位</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单价</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总价</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备注</w:t>
            </w:r>
          </w:p>
        </w:tc>
      </w:tr>
      <w:tr>
        <w:trPr>
          <w:trHeight w:val="120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营销中心导视氛围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导视牌定制设计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根据选定的标识牌延展内容；</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2个洗手间男女标识、4个通道吊牌（洗手间、财务室、签约室、会议室）、财务室标识、小心台阶贴牌等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户外广告位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1个画面，提供2款设计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56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绿植景观设计</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根据现场环境，设计绿植景观搭配，并出3D效果图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11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户型图</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新增10个户型户型细节渲染处理及美化；</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A2、A3、A-4a、A-9a、B-3、B-5、B-6、B-7a、B-8、B-10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根据cad图纸，进行厕所厨房管道、空调位的表达统一后，再进行渲染美化</w:t>
            </w:r>
          </w:p>
        </w:tc>
      </w:tr>
      <w:tr>
        <w:tblPrEx>
          <w:tblCellMar>
            <w:top w:w="0" w:type="dxa"/>
            <w:left w:w="108" w:type="dxa"/>
            <w:bottom w:w="0" w:type="dxa"/>
            <w:right w:w="108" w:type="dxa"/>
          </w:tblCellMar>
        </w:tblPrEx>
        <w:trPr>
          <w:trHeight w:val="51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户型图修改，镜像类：A8、B2、C2；飘窗类：A1、A5、A6、A 7、A10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1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外展物料</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画面延展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40"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物料制作</w:t>
            </w:r>
          </w:p>
        </w:tc>
      </w:tr>
      <w:tr>
        <w:tblPrEx>
          <w:tblCellMar>
            <w:top w:w="0" w:type="dxa"/>
            <w:left w:w="108" w:type="dxa"/>
            <w:bottom w:w="0" w:type="dxa"/>
            <w:right w:w="108" w:type="dxa"/>
          </w:tblCellMar>
        </w:tblPrEx>
        <w:trPr>
          <w:trHeight w:val="7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户外区广告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外立面广告位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40镀锌方管框架，四周焊接圆管拉刀刮布，用面宽10公分不锈钢围边，23.4*5.8H</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136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工人在吊篮里焊烧铁架，烧制完成后喷漆保护，最后再进行画面安装</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户外射灯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300w户外射灯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吊机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安装时间：5天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天</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11</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商铺广告</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商铺情景展示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黑底可移户外背胶1400PDI，3780*6520,3780*8580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72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5MM安迪板黑底可移户外背胶1400PDI,6520*1220,8580*1220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玻璃有大量水泥砂浆，搞清洁才能贴背胶，补工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二楼后门户外画面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户外高空画面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40镀锌方管框架，四周焊接圆管拉黑底灯布，尺寸：16.85x2.43m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m²</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卷帘门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卷帘门刷漆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白色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250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m²</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20</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其他物料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洗手间标识牌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不锈钢拉丝，激光切割+UV印刷 28*10.5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透明不干胶地贴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小心台阶，金属贴牌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不锈钢腐蚀牌 24*10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请勿攀爬，透明贴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70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交付标准/非交付标准，透明贴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交付标准贴纸50个</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非交付标准贴纸50个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通道吊牌标识定制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镀锌板烤漆 1000*300，吊下高度30cm</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签约区-洽谈区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儿童区-沙盘区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洗手间-财务区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签约区-财务区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VIP区-签约区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财务窗口标识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窗口的编号：窗口①、窗口②、窗口③、窗口④、窗口⑤、窗口⑥，15cm高窗口数字123玫瑰金水晶字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财务室：40*20亚克力贴水晶板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16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数字透明贴纸；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第一款：只要123数字不要圈，数字做玫瑰金色，字高度15cm。6个</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第二款：123数字加圈，做玫瑰金色。直径15cm。6个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儿童区温馨提示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安迪板5mm割型，45*30*cm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安迪板5mm割型，20*40cm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15l楼样板房指引牌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请勿攀爬，透明贴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物业咨询处台牌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销售人员公示牌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38</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创意样板间参观须知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kt板</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50*70cm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阳台非交标提示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25*10cm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此处为创意空间展示，最终以实际交付为准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厨房非交标提示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25*10cm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此处为创意空间展示，最终以实际交付为准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 恭迎品鉴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kt板</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50*70cm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臂贴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不干胶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7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户型水牌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304#不锈钢激光，刨坑，焊接，拉丝，电镀玫瑰金色，正面户型底白色UV打印，再uv打印户型图案覆盖上面，顶部LOGO白色丝印，200*400H*60D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47</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户型水牌打样</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白色户型内容打样，不锈钢激光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304#不锈钢激光，刨坑，焊接，拉丝，电镀玫瑰金色，正面户型底白色UV打印，再uv打印户型图案覆盖上面，顶部LOGO白色丝印，200*400H*60D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49</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外展物料</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海报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57*76cmH*2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59*79cm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易拉宝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800*2000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660"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物资采购</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营销中心物资</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vip室灯泡更换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12瓦灯泡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扩音器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录音电话座机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蓝牙接收器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u盘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64G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文件打印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16栋一楼入户大堂侧绿植</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扶手梯两侧装饰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zjc-247尤加利（40*60CM）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草高约8cm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29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sfx-7头18叶波斯草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高42cm，18片叶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sfx-小7头白边地瓜叶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高34cm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sfx-9头绿鸭爪叶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zjc-波斯叶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高55cm，23片叶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zjc-龟背叶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高27cm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12叶扇葵叶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gzm-12叉滴水观音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12片叶 高50cm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雾凇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小5头苹果叶绿色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高52cm9叉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sfx-18头白竹叶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sfx-9头黄变色木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gzm-5叉情人果(白色)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高35cm，35花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仿真动物造型雕塑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高密度仿真泡沫石头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00"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总计（不含税）：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税费（6%）：</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儿童区软装采购</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软包围挡</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环保弹力PU软包，60高度cm*20厚度cm*850长度cm；</w:t>
            </w:r>
            <w:r>
              <w:rPr>
                <w:rFonts w:hint="eastAsia" w:ascii="微软雅黑" w:hAnsi="微软雅黑" w:eastAsia="微软雅黑" w:cs="宋体"/>
                <w:b/>
                <w:bCs/>
                <w:color w:val="404040"/>
                <w:kern w:val="0"/>
                <w:sz w:val="18"/>
                <w:szCs w:val="18"/>
              </w:rPr>
              <w:t>工期5天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软包围挡梯子</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积木拼装</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126粒全套积木+敲琴+小车绕珠+彩虹塔</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积木拼装</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164粒全套积木+打地鼠拖拉车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滑滑梯</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270长*270宽*195高cm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82</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滑行摇摇马</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豆蔻绿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83</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扭扭车</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蓝色恐龙、绿色恐龙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台</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室内儿童帐篷</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帐篷+120cm地垫+线球灯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无尘小黑板</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86*66cm，配画笔盒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乐高大颗粒儿童积木桌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大桌+4椅+积木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墙面装饰画</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超大款白原组合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大树亚克力3d立体墙贴</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013咖啡枝+浅绿叶+粉红花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狮子、斑马笔筒摆件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狮子【笔筒+书档 】灰</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斑马【笔筒+书档 】绿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摇摆小木马桌面装饰品</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金色、白色、黑色大号-摇摆木马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创意桌面森系小摆件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共9款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92</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多功能卡通桌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绿色大号蘑菇组合，1大桌+1小桌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93</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彩虹凳</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橄榄绿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94</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书本</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小学生名著注音版第一辑全，一套10册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一小学生名著注音版，第三辑全套10册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升级漫画版——十万个为什么，一套10册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国外获奖绘本，一套26册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神话故事绘本，一套20册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7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超级飞侠翻翻故事书-欧洲篇【6册】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超级飞侠翻翻故事书-亚洲篇【6册】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6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【第一辑】汪汪队10册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【第二辑】汪汪队8册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【套装10册】冰雪奇缘故事书1+2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10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【宇宙英雄奥特曼】勇闯大迷宫（4册）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【宇宙英雄奥特曼】迷宫大冒险（4册）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【罗布奥特曼】口袋故事书（10册/非注音）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儿童装饰书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150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本</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太阳花抱枕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云朵抱枕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恐龙抱枕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恐龙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保护装饰垫</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手绘系4片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鞋柜</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绿色软包双层鞋柜*2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总计（不含税）：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0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税费（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1659" w:hRule="atLeast"/>
        </w:trPr>
        <w:tc>
          <w:tcPr>
            <w:tcW w:w="10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备注：</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 本报价包含人工安装、物料运输、必要辅料、现场监理等费用</w:t>
            </w:r>
          </w:p>
        </w:tc>
      </w:tr>
    </w:tbl>
    <w:p>
      <w:pPr>
        <w:spacing w:line="400" w:lineRule="exact"/>
        <w:rPr>
          <w:rFonts w:ascii="宋体" w:hAnsi="宋体" w:eastAsia="宋体" w:cs="Times New Roman"/>
          <w:szCs w:val="24"/>
        </w:rPr>
      </w:pPr>
    </w:p>
    <w:p>
      <w:pPr>
        <w:widowControl/>
        <w:rPr>
          <w:rFonts w:ascii="仿宋" w:hAnsi="仿宋" w:eastAsia="仿宋"/>
        </w:rPr>
      </w:pPr>
    </w:p>
    <w:p>
      <w:pPr>
        <w:widowControl/>
        <w:jc w:val="left"/>
        <w:rPr>
          <w:rFonts w:ascii="仿宋" w:hAnsi="仿宋" w:eastAsia="仿宋"/>
        </w:rPr>
      </w:pPr>
    </w:p>
    <w:p>
      <w:pPr>
        <w:widowControl/>
        <w:jc w:val="left"/>
        <w:rPr>
          <w:rFonts w:ascii="仿宋" w:hAnsi="仿宋" w:eastAsia="仿宋"/>
        </w:rPr>
      </w:pPr>
      <w:r>
        <w:rPr>
          <w:rFonts w:ascii="仿宋" w:hAnsi="仿宋" w:eastAsia="仿宋"/>
        </w:rPr>
        <w:t>附件</w:t>
      </w:r>
      <w:r>
        <w:rPr>
          <w:rFonts w:hint="eastAsia" w:ascii="仿宋" w:hAnsi="仿宋" w:eastAsia="仿宋"/>
        </w:rPr>
        <w:t>2：</w:t>
      </w:r>
    </w:p>
    <w:p>
      <w:pPr>
        <w:spacing w:line="360" w:lineRule="auto"/>
        <w:jc w:val="center"/>
        <w:rPr>
          <w:rFonts w:asciiTheme="minorEastAsia" w:hAnsiTheme="minorEastAsia"/>
          <w:b/>
          <w:sz w:val="44"/>
          <w:szCs w:val="44"/>
        </w:rPr>
      </w:pPr>
      <w:r>
        <w:rPr>
          <w:rFonts w:hint="eastAsia" w:asciiTheme="minorEastAsia" w:hAnsiTheme="minorEastAsia"/>
          <w:b/>
          <w:sz w:val="44"/>
          <w:szCs w:val="44"/>
        </w:rPr>
        <w:t>廉洁协议书</w:t>
      </w:r>
    </w:p>
    <w:p>
      <w:pPr>
        <w:spacing w:line="360" w:lineRule="auto"/>
        <w:rPr>
          <w:rFonts w:asciiTheme="minorEastAsia" w:hAnsiTheme="minorEastAsia"/>
          <w:szCs w:val="21"/>
        </w:rPr>
      </w:pPr>
    </w:p>
    <w:p>
      <w:pPr>
        <w:spacing w:line="360" w:lineRule="auto"/>
        <w:rPr>
          <w:rFonts w:asciiTheme="minorEastAsia" w:hAnsiTheme="minorEastAsia"/>
          <w:b/>
          <w:sz w:val="24"/>
        </w:rPr>
      </w:pPr>
      <w:r>
        <w:rPr>
          <w:rFonts w:hint="eastAsia" w:asciiTheme="minorEastAsia" w:hAnsiTheme="minorEastAsia"/>
          <w:b/>
          <w:sz w:val="24"/>
        </w:rPr>
        <w:t>甲方：广州市城壹房地产顾问有限公司</w:t>
      </w:r>
    </w:p>
    <w:p>
      <w:pPr>
        <w:spacing w:line="360" w:lineRule="auto"/>
        <w:rPr>
          <w:rFonts w:asciiTheme="minorEastAsia" w:hAnsiTheme="minorEastAsia"/>
          <w:b/>
          <w:sz w:val="24"/>
        </w:rPr>
      </w:pPr>
      <w:r>
        <w:rPr>
          <w:rFonts w:hint="eastAsia" w:asciiTheme="minorEastAsia" w:hAnsiTheme="minorEastAsia"/>
          <w:b/>
          <w:sz w:val="24"/>
        </w:rPr>
        <w:t>乙方：</w:t>
      </w:r>
    </w:p>
    <w:p>
      <w:pPr>
        <w:spacing w:line="360" w:lineRule="auto"/>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为保障甲方和乙方在业务往来中的合法权益，促进企业党风建设、廉洁从业，预防商业贿赂和不正当竞争，按照《中华人民共和国</w:t>
      </w:r>
      <w:r>
        <w:rPr>
          <w:rFonts w:hint="eastAsia" w:asciiTheme="minorEastAsia" w:hAnsiTheme="minorEastAsia"/>
          <w:sz w:val="24"/>
          <w:lang w:eastAsia="zh-Hans"/>
        </w:rPr>
        <w:t>民法典</w:t>
      </w:r>
      <w:r>
        <w:rPr>
          <w:rFonts w:hint="eastAsia" w:asciiTheme="minorEastAsia" w:hAnsiTheme="minorEastAsia"/>
          <w:sz w:val="24"/>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6"/>
        </w:numPr>
        <w:spacing w:line="360" w:lineRule="auto"/>
        <w:rPr>
          <w:rFonts w:asciiTheme="minorEastAsia" w:hAnsiTheme="minorEastAsia"/>
          <w:sz w:val="24"/>
        </w:rPr>
      </w:pPr>
      <w:r>
        <w:rPr>
          <w:rFonts w:asciiTheme="minorEastAsia" w:hAnsiTheme="minorEastAsia"/>
          <w:sz w:val="24"/>
        </w:rPr>
        <w:t xml:space="preserve">  甲乙双方责任</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严格遵守国家法律法规和廉洁从业规定以及相关行业行风建设的纪律和规定。</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严格执行合同，自觉按合同办事。</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双方的业务活动必须坚持公开、公平、公正、诚信、透明的原则（法律法规另有规定或双方约定除外），不得损害国家和企业利益。</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发现对方在业务活动中有违反廉洁从业规定或本协议约定的行为，应及时提醒和纠正对方。</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发现对方在业务活动中有严重违反廉洁从业规定的行为，有权向对方主管部门或有关部门举报。</w:t>
      </w:r>
    </w:p>
    <w:p>
      <w:pPr>
        <w:numPr>
          <w:ilvl w:val="0"/>
          <w:numId w:val="6"/>
        </w:numPr>
        <w:spacing w:line="360" w:lineRule="auto"/>
        <w:rPr>
          <w:rFonts w:asciiTheme="minorEastAsia" w:hAnsiTheme="minorEastAsia"/>
          <w:sz w:val="24"/>
        </w:rPr>
      </w:pPr>
      <w:r>
        <w:rPr>
          <w:rFonts w:asciiTheme="minorEastAsia" w:hAnsiTheme="minorEastAsia"/>
          <w:sz w:val="24"/>
        </w:rPr>
        <w:t xml:space="preserve">  甲方应遵守下列条款</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甲方、甲方工作人员及其亲属不得以暗示或任何形式向乙方索要或收受回扣、提成、现金、有价证券、支付凭证和贵重礼品等财物。</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甲方及其工作人员不得参加乙方安排的宴请（工作餐除外）、娱乐活动、高档消费；不得接受乙方向甲方及其工作人员提供的通信工具、交通工具和高档办公用品等物品。</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甲方及其工作人员不得以任何理由要求、暗示或接受乙方和相关单位为其在度假、出国（出境）旅游、婚丧嫁娶、住房装修、配偶子女等亲属工作安排等方面提供方便。</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甲方工作人员不得在乙方报销应由甲方或个人支付的任何费用。</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如果乙方向甲方工作人员提供第三条第（一）至（五）款所指的内容，甲方工作人员应拒绝对方；对于无法拒绝的，应及时向甲方纪检部门举报。</w:t>
      </w:r>
    </w:p>
    <w:p>
      <w:pPr>
        <w:numPr>
          <w:ilvl w:val="0"/>
          <w:numId w:val="6"/>
        </w:numPr>
        <w:spacing w:line="360" w:lineRule="auto"/>
        <w:rPr>
          <w:rFonts w:asciiTheme="minorEastAsia" w:hAnsiTheme="minorEastAsia"/>
          <w:sz w:val="24"/>
        </w:rPr>
      </w:pPr>
      <w:r>
        <w:rPr>
          <w:rFonts w:asciiTheme="minorEastAsia" w:hAnsiTheme="minorEastAsia"/>
          <w:sz w:val="24"/>
        </w:rPr>
        <w:t xml:space="preserve">  乙方应遵守下列条款</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乙方不得以任何形式向甲方及其工作人员馈赠现金、有价证券、支付凭证和贵重礼品等财物。</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乙方不得以任何理由邀请甲方工作人员参加有可能影响业务活动的宴请及娱乐活动；不得为甲方及其工作人员提供的通信工具、交通工具和高档办公用品等物品。</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乙方不得为甲方工作人员在度假、出国（出境）旅游、婚丧嫁娶、住房装修、配偶子女等亲属工作安排等方面提供方便。</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乙方不得以任何名义为甲方工作人员及其亲属支付应由个人支付的各种费用。</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乙方或乙方工作人员不得以借用（包含甲方借给乙方或乙方借给甲方）等名义与甲方工作人员及其配偶、子女及其他特定关系人发生现金、房屋、交通工具和贵重物品往来。</w:t>
      </w:r>
    </w:p>
    <w:p>
      <w:pPr>
        <w:numPr>
          <w:ilvl w:val="0"/>
          <w:numId w:val="9"/>
        </w:numPr>
        <w:spacing w:line="360" w:lineRule="auto"/>
        <w:ind w:left="0" w:firstLine="567"/>
        <w:rPr>
          <w:rFonts w:asciiTheme="minorEastAsia" w:hAnsiTheme="minorEastAsia"/>
          <w:sz w:val="24"/>
        </w:rPr>
      </w:pPr>
      <w:r>
        <w:rPr>
          <w:rFonts w:hint="eastAsia" w:asciiTheme="minorEastAsia" w:hAnsiTheme="minorEastAsia"/>
          <w:sz w:val="24"/>
        </w:rPr>
        <w:t>甲方工作人员主动向乙方索要或要求乙方安排和提供第三条（一）至（五）款所指的内容，乙方应予以拒绝，并向甲方纪检部门及时举报。</w:t>
      </w:r>
    </w:p>
    <w:p>
      <w:pPr>
        <w:numPr>
          <w:ilvl w:val="0"/>
          <w:numId w:val="6"/>
        </w:numPr>
        <w:spacing w:line="360" w:lineRule="auto"/>
        <w:ind w:left="0" w:firstLine="480"/>
        <w:rPr>
          <w:rFonts w:asciiTheme="minorEastAsia" w:hAnsiTheme="minorEastAsia"/>
          <w:sz w:val="24"/>
        </w:rPr>
      </w:pPr>
      <w:r>
        <w:rPr>
          <w:rFonts w:asciiTheme="minorEastAsia" w:hAnsiTheme="minorEastAsia"/>
          <w:sz w:val="24"/>
        </w:rPr>
        <w:t xml:space="preserve">  违约责任</w:t>
      </w:r>
    </w:p>
    <w:p>
      <w:pPr>
        <w:spacing w:line="360" w:lineRule="auto"/>
        <w:ind w:firstLine="480" w:firstLineChars="200"/>
        <w:rPr>
          <w:rFonts w:asciiTheme="minorEastAsia" w:hAnsiTheme="minorEastAsia"/>
          <w:sz w:val="24"/>
        </w:rPr>
      </w:pPr>
      <w:r>
        <w:rPr>
          <w:rFonts w:hint="eastAsia" w:asciiTheme="minorEastAsia" w:hAnsiTheme="minorEastAsia"/>
          <w:sz w:val="24"/>
        </w:rPr>
        <w:t>甲乙双方工作人员如违反本协议，按照管理权限，依据有关法律法规和相关规定给予党纪、政纪处分或组织处理；涉嫌犯罪的，移交司法机关追究刑事责任；给对方单位造成经济损失的，应予以赔偿。</w:t>
      </w:r>
    </w:p>
    <w:p>
      <w:pPr>
        <w:numPr>
          <w:ilvl w:val="0"/>
          <w:numId w:val="6"/>
        </w:numPr>
        <w:spacing w:line="360" w:lineRule="auto"/>
        <w:ind w:left="0" w:firstLine="480"/>
        <w:rPr>
          <w:rFonts w:asciiTheme="minorEastAsia" w:hAnsiTheme="minorEastAsia"/>
          <w:sz w:val="24"/>
        </w:rPr>
      </w:pPr>
      <w:r>
        <w:rPr>
          <w:rFonts w:asciiTheme="minorEastAsia" w:hAnsiTheme="minorEastAsia"/>
          <w:sz w:val="24"/>
        </w:rPr>
        <w:t xml:space="preserve">  如甲乙双方有违反国家法律法规和廉洁</w:t>
      </w:r>
      <w:r>
        <w:rPr>
          <w:rFonts w:hint="eastAsia" w:asciiTheme="minorEastAsia" w:hAnsiTheme="minorEastAsia"/>
          <w:sz w:val="24"/>
        </w:rPr>
        <w:t>从业规定的其他行为，参照本协议约定执行。</w:t>
      </w:r>
    </w:p>
    <w:p>
      <w:pPr>
        <w:numPr>
          <w:ilvl w:val="0"/>
          <w:numId w:val="6"/>
        </w:numPr>
        <w:spacing w:line="360" w:lineRule="auto"/>
        <w:ind w:left="0" w:firstLine="480"/>
        <w:rPr>
          <w:rFonts w:asciiTheme="minorEastAsia" w:hAnsiTheme="minorEastAsia"/>
          <w:sz w:val="24"/>
        </w:rPr>
      </w:pPr>
      <w:r>
        <w:rPr>
          <w:rFonts w:asciiTheme="minorEastAsia" w:hAnsiTheme="minorEastAsia"/>
          <w:sz w:val="24"/>
        </w:rPr>
        <w:t xml:space="preserve">  本协议经双方盖章后生效，一式</w:t>
      </w:r>
      <w:r>
        <w:rPr>
          <w:rFonts w:hint="eastAsia" w:asciiTheme="minorEastAsia" w:hAnsiTheme="minorEastAsia"/>
          <w:sz w:val="24"/>
        </w:rPr>
        <w:t>四</w:t>
      </w:r>
      <w:r>
        <w:rPr>
          <w:rFonts w:asciiTheme="minorEastAsia" w:hAnsiTheme="minorEastAsia"/>
          <w:sz w:val="24"/>
        </w:rPr>
        <w:t>份，具有同等法律效力。</w:t>
      </w:r>
    </w:p>
    <w:p>
      <w:pPr>
        <w:rPr>
          <w:rFonts w:ascii="仿宋_GB2312" w:hAnsi="宋体" w:eastAsia="仿宋_GB2312" w:cs="宋体"/>
          <w:b/>
          <w:bCs/>
          <w:sz w:val="36"/>
          <w:szCs w:val="36"/>
        </w:rPr>
      </w:pPr>
      <w:r>
        <w:rPr>
          <w:rFonts w:ascii="Calibri" w:hAnsi="Calibri" w:eastAsia="宋体" w:cs="Times New Roman"/>
          <w:szCs w:val="24"/>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城隽雅苑北区销售中心新增</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物料制作采购服务项目</w:t>
      </w: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    年   月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广州市城壹房地产顾问有限公司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6"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7" w:name="_Toc334797769"/>
      <w:r>
        <w:rPr>
          <w:rFonts w:hint="eastAsia" w:ascii="仿宋_GB2312" w:hAnsi="Arial" w:eastAsia="仿宋_GB2312" w:cs="Times New Roman"/>
          <w:bCs/>
          <w:sz w:val="24"/>
          <w:szCs w:val="24"/>
        </w:rPr>
        <w:t>附件3</w:t>
      </w:r>
    </w:p>
    <w:bookmarkEnd w:id="16"/>
    <w:bookmarkEnd w:id="17"/>
    <w:p>
      <w:pPr>
        <w:keepNext/>
        <w:keepLines/>
        <w:spacing w:before="260" w:after="260" w:line="400" w:lineRule="exact"/>
        <w:jc w:val="center"/>
        <w:outlineLvl w:val="1"/>
        <w:rPr>
          <w:rFonts w:ascii="仿宋_GB2312" w:hAnsi="宋体" w:eastAsia="仿宋_GB2312" w:cs="宋体"/>
          <w:sz w:val="32"/>
          <w:szCs w:val="32"/>
        </w:rPr>
      </w:pPr>
      <w:bookmarkStart w:id="18" w:name="_Toc334797770"/>
      <w:bookmarkStart w:id="19"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szCs w:val="24"/>
        </w:rPr>
        <w:t>广州市城壹房地产顾问有限公司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8"/>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9"/>
    <w:p>
      <w:pPr>
        <w:keepNext/>
        <w:keepLines/>
        <w:spacing w:before="260" w:after="260" w:line="400" w:lineRule="exact"/>
        <w:outlineLvl w:val="1"/>
        <w:rPr>
          <w:rFonts w:ascii="仿宋_GB2312" w:hAnsi="Arial" w:eastAsia="仿宋_GB2312" w:cs="Times New Roman"/>
          <w:b/>
          <w:bCs/>
          <w:sz w:val="32"/>
          <w:szCs w:val="32"/>
        </w:rPr>
      </w:pPr>
      <w:bookmarkStart w:id="20" w:name="_Toc334797774"/>
      <w:r>
        <w:rPr>
          <w:rFonts w:ascii="仿宋_GB2312" w:hAnsi="Arial" w:eastAsia="仿宋_GB2312" w:cs="Times New Roman"/>
          <w:b/>
          <w:bCs/>
          <w:sz w:val="32"/>
          <w:szCs w:val="32"/>
        </w:rPr>
        <w:br w:type="page"/>
      </w:r>
      <w:bookmarkEnd w:id="20"/>
    </w:p>
    <w:p>
      <w:pPr>
        <w:keepNext/>
        <w:keepLines/>
        <w:spacing w:before="260" w:after="260" w:line="400" w:lineRule="exact"/>
        <w:outlineLvl w:val="1"/>
        <w:rPr>
          <w:rFonts w:ascii="仿宋_GB2312" w:hAnsi="Arial" w:eastAsia="仿宋_GB2312" w:cs="Times New Roman"/>
          <w:bCs/>
          <w:sz w:val="24"/>
          <w:szCs w:val="24"/>
        </w:rPr>
      </w:pPr>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竞投报价执行清单</w:t>
      </w:r>
    </w:p>
    <w:tbl>
      <w:tblPr>
        <w:tblStyle w:val="5"/>
        <w:tblW w:w="10491" w:type="dxa"/>
        <w:tblInd w:w="-998" w:type="dxa"/>
        <w:tblLayout w:type="autofit"/>
        <w:tblCellMar>
          <w:top w:w="0" w:type="dxa"/>
          <w:left w:w="108" w:type="dxa"/>
          <w:bottom w:w="0" w:type="dxa"/>
          <w:right w:w="108" w:type="dxa"/>
        </w:tblCellMar>
      </w:tblPr>
      <w:tblGrid>
        <w:gridCol w:w="533"/>
        <w:gridCol w:w="1614"/>
        <w:gridCol w:w="1377"/>
        <w:gridCol w:w="2878"/>
        <w:gridCol w:w="639"/>
        <w:gridCol w:w="457"/>
        <w:gridCol w:w="535"/>
        <w:gridCol w:w="712"/>
        <w:gridCol w:w="1746"/>
      </w:tblGrid>
      <w:tr>
        <w:tblPrEx>
          <w:tblCellMar>
            <w:top w:w="0" w:type="dxa"/>
            <w:left w:w="108" w:type="dxa"/>
            <w:bottom w:w="0" w:type="dxa"/>
            <w:right w:w="108" w:type="dxa"/>
          </w:tblCellMar>
        </w:tblPrEx>
        <w:trPr>
          <w:trHeight w:val="536" w:hRule="atLeast"/>
        </w:trPr>
        <w:tc>
          <w:tcPr>
            <w:tcW w:w="10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城隽雅苑北区销售中心新增制作服务采购清单</w:t>
            </w:r>
          </w:p>
        </w:tc>
      </w:tr>
      <w:tr>
        <w:tblPrEx>
          <w:tblCellMar>
            <w:top w:w="0" w:type="dxa"/>
            <w:left w:w="108" w:type="dxa"/>
            <w:bottom w:w="0" w:type="dxa"/>
            <w:right w:w="108" w:type="dxa"/>
          </w:tblCellMar>
        </w:tblPrEx>
        <w:trPr>
          <w:trHeight w:val="519"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设计</w:t>
            </w:r>
          </w:p>
        </w:tc>
      </w:tr>
      <w:tr>
        <w:tblPrEx>
          <w:tblCellMar>
            <w:top w:w="0" w:type="dxa"/>
            <w:left w:w="108" w:type="dxa"/>
            <w:bottom w:w="0" w:type="dxa"/>
            <w:right w:w="108" w:type="dxa"/>
          </w:tblCellMar>
        </w:tblPrEx>
        <w:trPr>
          <w:trHeight w:val="4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序号</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品名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内容说明</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单位</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单价</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总价</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备注</w:t>
            </w:r>
          </w:p>
        </w:tc>
      </w:tr>
      <w:tr>
        <w:tblPrEx>
          <w:tblCellMar>
            <w:top w:w="0" w:type="dxa"/>
            <w:left w:w="108" w:type="dxa"/>
            <w:bottom w:w="0" w:type="dxa"/>
            <w:right w:w="108" w:type="dxa"/>
          </w:tblCellMar>
        </w:tblPrEx>
        <w:trPr>
          <w:trHeight w:val="120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营销中心导视氛围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导视牌定制设计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根据选定的标识牌延展内容；</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2个洗手间男女标识、4个通道吊牌（洗手间、财务室、签约室、会议室）、财务室标识、小心台阶贴牌等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户外广告位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1个画面，提供2款设计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56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绿植景观设计</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根据现场环境，设计绿植景观搭配，并出3D效果图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11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户型图</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新增10个户型户型细节渲染处理及美化；</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A2、A3、A-4a、A-9a、B-3、B-5、B-6、B-7a、B-8、B-10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根据cad图纸，进行厕所厨房管道、空调位的表达统一后，再进行渲染美化</w:t>
            </w:r>
          </w:p>
        </w:tc>
      </w:tr>
      <w:tr>
        <w:tblPrEx>
          <w:tblCellMar>
            <w:top w:w="0" w:type="dxa"/>
            <w:left w:w="108" w:type="dxa"/>
            <w:bottom w:w="0" w:type="dxa"/>
            <w:right w:w="108" w:type="dxa"/>
          </w:tblCellMar>
        </w:tblPrEx>
        <w:trPr>
          <w:trHeight w:val="51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户型图修改，镜像类：A8、B2、C2；飘窗类：A1、A5、A6、A 7、A10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1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外展物料</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画面延展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40"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物料制作</w:t>
            </w:r>
          </w:p>
        </w:tc>
      </w:tr>
      <w:tr>
        <w:tblPrEx>
          <w:tblCellMar>
            <w:top w:w="0" w:type="dxa"/>
            <w:left w:w="108" w:type="dxa"/>
            <w:bottom w:w="0" w:type="dxa"/>
            <w:right w:w="108" w:type="dxa"/>
          </w:tblCellMar>
        </w:tblPrEx>
        <w:trPr>
          <w:trHeight w:val="7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户外区广告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外立面广告位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40镀锌方管框架，四周焊接圆管拉刀刮布，用面宽10公分不锈钢围边，23.4*5.8H</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136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工人在吊篮里焊烧铁架，烧制完成后喷漆保护，最后再进行画面安装</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户外射灯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300w户外射灯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吊机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安装时间：5天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天</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11</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商铺广告</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商铺情景展示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黑底可移户外背胶1400PDI，3780*6520,3780*8580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72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5MM安迪板黑底可移户外背胶1400PDI,6520*1220,8580*1220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玻璃有大量水泥砂浆，搞清洁才能贴背胶，补工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二楼后门户外画面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户外高空画面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40镀锌方管框架，四周焊接圆管拉黑底灯布，尺寸：16.85x2.43m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m²</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高空作业脚手架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卷帘门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卷帘门刷漆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白色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250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m²</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20</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其他物料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洗手间标识牌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不锈钢拉丝，激光切割+UV印刷 28*10.5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透明不干胶地贴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小心台阶，金属贴牌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不锈钢腐蚀牌 24*10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请勿攀爬，透明贴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70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交付标准/非交付标准，透明贴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交付标准贴纸50个</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非交付标准贴纸50个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通道吊牌标识定制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镀锌板烤漆 1000*300，吊下高度30cm</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签约区-洽谈区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儿童区-沙盘区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洗手间-财务区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签约区-财务区</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VIP区-签约区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财务窗口标识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窗口的编号：窗口①、窗口②、窗口③、窗口④、窗口⑤、窗口⑥，15cm高窗口数字123玫瑰金水晶字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财务室：40*20亚克力贴水晶板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16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数字透明贴纸；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第一款：只要123数字不要圈，数字做玫瑰金色，字高度15cm。6个</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第二款：123数字加圈，做玫瑰金色。直径15cm。6个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儿童区温馨提示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安迪板5mm割型，45*30*cm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安迪板5mm割型，20*40cm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15l楼样板房指引牌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请勿攀爬，透明贴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透明不干胶贴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工牌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小心台阶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物业咨询处台牌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销售人员公示牌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安迪板5mm割型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38</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创意样板间参观须知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kt板</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50*70cm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阳台非交标提示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25*10cm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此处为创意空间展示，最终以实际交付为准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厨房非交标提示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贴纸</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25*10cm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此处为创意空间展示，最终以实际交付为准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 恭迎品鉴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kt板</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50*70cm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臂贴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不干胶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rPr>
          <w:trHeight w:val="7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户型水牌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304#不锈钢激光，刨坑，焊接，拉丝，电镀玫瑰金色，正面户型底白色UV打印，再uv打印户型图案覆盖上面，顶部LOGO白色丝印，200*400H*60D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47</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户型水牌打样</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白色户型内容打样，不锈钢激光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4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6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304#不锈钢激光，刨坑，焊接，拉丝，电镀玫瑰金色，正面户型底白色UV打印，再uv打印户型图案覆盖上面，顶部LOGO白色丝印，200*400H*60D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49</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外展物料</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海报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57*76cmH*2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1.8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59*79cm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易拉宝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800*2000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660"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物资采购</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营销中心物资</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vip室灯泡更换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12瓦灯泡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56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扩音器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3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录音电话座机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蓝牙接收器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u盘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64G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文件打印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交标样板间提示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画架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16栋一楼入户大堂侧绿植</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扶手梯两侧装饰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zjc-247尤加利（40*60CM）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草高约8cm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29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sfx-7头18叶波斯草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高42cm，18片叶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sfx-小7头白边地瓜叶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高34cm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sfx-9头绿鸭爪叶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zjc-波斯叶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高55cm，23片叶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zjc-龟背叶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高27cm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12叶扇葵叶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69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gzm-12叉滴水观音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12片叶 高50cm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雾凇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小5头苹果叶绿色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高52cm9叉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sfx-18头白竹叶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sfx-9头黄变色木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74</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gzm-5叉情人果(白色)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高35cm，35花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仿真动物造型雕塑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3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高密度仿真泡沫石头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00"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小计</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总计（不含税）：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税费（6%）：</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10491" w:type="dxa"/>
            <w:gridSpan w:val="9"/>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儿童区软装采购</w:t>
            </w:r>
          </w:p>
        </w:tc>
      </w:tr>
      <w:tr>
        <w:tblPrEx>
          <w:tblCellMar>
            <w:top w:w="0" w:type="dxa"/>
            <w:left w:w="108" w:type="dxa"/>
            <w:bottom w:w="0" w:type="dxa"/>
            <w:right w:w="108" w:type="dxa"/>
          </w:tblCellMar>
        </w:tblPrEx>
        <w:trPr>
          <w:trHeight w:val="4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软包围挡</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环保弹力PU软包，60高度cm*20厚度cm*850长度cm；</w:t>
            </w:r>
            <w:r>
              <w:rPr>
                <w:rFonts w:hint="eastAsia" w:ascii="微软雅黑" w:hAnsi="微软雅黑" w:eastAsia="微软雅黑" w:cs="宋体"/>
                <w:b/>
                <w:bCs/>
                <w:color w:val="404040"/>
                <w:kern w:val="0"/>
                <w:sz w:val="18"/>
                <w:szCs w:val="18"/>
              </w:rPr>
              <w:t>工期5天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软包围挡梯子</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79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积木拼装</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126粒全套积木+敲琴+小车绕珠+彩虹塔</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积木拼装</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164粒全套积木+打地鼠拖拉车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滑滑梯</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270长*270宽*195高cm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82</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滑行摇摇马</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豆蔻绿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83</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扭扭车</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蓝色恐龙、绿色恐龙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台</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室内儿童帐篷</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帐篷+120cm地垫+线球灯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无尘小黑板</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86*66cm，配画笔盒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乐高大颗粒儿童积木桌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大桌+4椅+积木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墙面装饰画</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超大款白原组合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大树亚克力3d立体墙贴</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013咖啡枝+浅绿叶+粉红花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69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89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狮子、斑马笔筒摆件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狮子【笔筒+书档 】灰</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斑马【笔筒+书档 】绿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摇摆小木马桌面装饰品</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金色、白色、黑色大号-摇摆木马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创意桌面森系小摆件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共9款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92</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多功能卡通桌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绿色大号蘑菇组合，1大桌+1小桌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93</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彩虹凳</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橄榄绿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6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张</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94</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书本</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小学生名著注音版第一辑全，一套10册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95</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一小学生名著注音版，第三辑全套10册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96</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升级漫画版——十万个为什么，一套10册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97</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国外获奖绘本，一套26册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98</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神话故事绘本，一套20册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2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75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99</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超级飞侠翻翻故事书-欧洲篇【6册】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超级飞侠翻翻故事书-亚洲篇【6册】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68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100</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【第一辑】汪汪队10册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【第二辑】汪汪队8册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101</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【套装10册】冰雪奇缘故事书1+2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10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102</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【宇宙英雄奥特曼】勇闯大迷宫（4册）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【宇宙英雄奥特曼】迷宫大冒险（4册）</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【罗布奥特曼】口袋故事书（10册/非注音）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103</w:t>
            </w: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40404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儿童装饰书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150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本</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太阳花抱枕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云朵抱枕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恐龙抱枕</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恐龙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个</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保护装饰垫</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手绘系4片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套</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108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鞋柜</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绿色软包双层鞋柜*2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xml:space="preserve">1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项</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459"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总计（不含税）：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0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税费（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561" w:hRule="atLeast"/>
        </w:trPr>
        <w:tc>
          <w:tcPr>
            <w:tcW w:w="80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总计（含税）：</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xml:space="preserve">¥0.00 </w:t>
            </w:r>
          </w:p>
        </w:tc>
        <w:tc>
          <w:tcPr>
            <w:tcW w:w="184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404040"/>
                <w:kern w:val="0"/>
                <w:sz w:val="18"/>
                <w:szCs w:val="18"/>
              </w:rPr>
            </w:pPr>
            <w:r>
              <w:rPr>
                <w:rFonts w:hint="eastAsia" w:ascii="微软雅黑" w:hAnsi="微软雅黑" w:eastAsia="微软雅黑" w:cs="宋体"/>
                <w:b/>
                <w:bCs/>
                <w:color w:val="404040"/>
                <w:kern w:val="0"/>
                <w:sz w:val="18"/>
                <w:szCs w:val="18"/>
              </w:rPr>
              <w:t>　</w:t>
            </w:r>
          </w:p>
        </w:tc>
      </w:tr>
      <w:tr>
        <w:tblPrEx>
          <w:tblCellMar>
            <w:top w:w="0" w:type="dxa"/>
            <w:left w:w="108" w:type="dxa"/>
            <w:bottom w:w="0" w:type="dxa"/>
            <w:right w:w="108" w:type="dxa"/>
          </w:tblCellMar>
        </w:tblPrEx>
        <w:trPr>
          <w:trHeight w:val="1659" w:hRule="atLeast"/>
        </w:trPr>
        <w:tc>
          <w:tcPr>
            <w:tcW w:w="10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404040"/>
                <w:kern w:val="0"/>
                <w:sz w:val="18"/>
                <w:szCs w:val="18"/>
              </w:rPr>
            </w:pPr>
            <w:r>
              <w:rPr>
                <w:rFonts w:hint="eastAsia" w:ascii="微软雅黑" w:hAnsi="微软雅黑" w:eastAsia="微软雅黑" w:cs="宋体"/>
                <w:color w:val="404040"/>
                <w:kern w:val="0"/>
                <w:sz w:val="18"/>
                <w:szCs w:val="18"/>
              </w:rPr>
              <w:t>备注：</w:t>
            </w:r>
            <w:r>
              <w:rPr>
                <w:rFonts w:hint="eastAsia" w:ascii="微软雅黑" w:hAnsi="微软雅黑" w:eastAsia="微软雅黑" w:cs="宋体"/>
                <w:color w:val="404040"/>
                <w:kern w:val="0"/>
                <w:sz w:val="18"/>
                <w:szCs w:val="18"/>
              </w:rPr>
              <w:br w:type="textWrapping"/>
            </w:r>
            <w:r>
              <w:rPr>
                <w:rFonts w:hint="eastAsia" w:ascii="微软雅黑" w:hAnsi="微软雅黑" w:eastAsia="微软雅黑" w:cs="宋体"/>
                <w:color w:val="404040"/>
                <w:kern w:val="0"/>
                <w:sz w:val="18"/>
                <w:szCs w:val="18"/>
              </w:rPr>
              <w:t>- 本报价包含人工安装、物料运输、必要辅料、现场监理等费用</w:t>
            </w:r>
          </w:p>
        </w:tc>
      </w:tr>
    </w:tbl>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spacing w:before="260" w:after="260" w:line="400" w:lineRule="exact"/>
        <w:outlineLvl w:val="1"/>
        <w:rPr>
          <w:rFonts w:ascii="仿宋_GB2312" w:hAnsi="Arial" w:eastAsia="仿宋_GB2312" w:cs="Times New Roman"/>
          <w:bCs/>
          <w:sz w:val="24"/>
          <w:szCs w:val="32"/>
        </w:rPr>
      </w:pP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广州市城壹房地产顾问有限公司：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竞投人名称: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附件7</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rPr>
            </w:pPr>
            <w:r>
              <w:rPr>
                <w:rFonts w:hint="eastAsia" w:ascii="仿宋_GB2312" w:hAnsi="宋体" w:eastAsia="仿宋_GB2312" w:cs="Arial"/>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rPr>
          <w:rFonts w:ascii="Calibri" w:hAnsi="Calibri"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4A74F5"/>
    <w:multiLevelType w:val="singleLevel"/>
    <w:tmpl w:val="274A74F5"/>
    <w:lvl w:ilvl="0" w:tentative="0">
      <w:start w:val="1"/>
      <w:numFmt w:val="decimal"/>
      <w:pStyle w:val="18"/>
      <w:lvlText w:val="（%1）"/>
      <w:lvlJc w:val="left"/>
      <w:pPr>
        <w:tabs>
          <w:tab w:val="left" w:pos="1254"/>
        </w:tabs>
        <w:ind w:left="1254" w:hanging="750"/>
      </w:pPr>
      <w:rPr>
        <w:rFonts w:hint="eastAsia"/>
      </w:rPr>
    </w:lvl>
  </w:abstractNum>
  <w:abstractNum w:abstractNumId="4">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20115C1"/>
    <w:multiLevelType w:val="singleLevel"/>
    <w:tmpl w:val="620115C1"/>
    <w:lvl w:ilvl="0" w:tentative="0">
      <w:start w:val="1"/>
      <w:numFmt w:val="chineseCounting"/>
      <w:suff w:val="nothing"/>
      <w:lvlText w:val="%1、"/>
      <w:lvlJc w:val="left"/>
      <w:rPr>
        <w:rFonts w:hint="eastAsia"/>
      </w:rPr>
    </w:lvl>
  </w:abstractNum>
  <w:abstractNum w:abstractNumId="8">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7"/>
  </w:num>
  <w:num w:numId="3">
    <w:abstractNumId w:val="8"/>
  </w:num>
  <w:num w:numId="4">
    <w:abstractNumId w:val="2"/>
  </w:num>
  <w:num w:numId="5">
    <w:abstractNumId w:val="6"/>
  </w:num>
  <w:num w:numId="6">
    <w:abstractNumId w:val="9"/>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MTg3YzdmMWJjMTczNjYwYTBiZmEyZWIwMzExY2EifQ=="/>
  </w:docVars>
  <w:rsids>
    <w:rsidRoot w:val="004B0266"/>
    <w:rsid w:val="00007DB4"/>
    <w:rsid w:val="000474CE"/>
    <w:rsid w:val="0005225C"/>
    <w:rsid w:val="00052D81"/>
    <w:rsid w:val="00054D4A"/>
    <w:rsid w:val="00071127"/>
    <w:rsid w:val="00072B8B"/>
    <w:rsid w:val="00075AC8"/>
    <w:rsid w:val="00090B64"/>
    <w:rsid w:val="00092F23"/>
    <w:rsid w:val="000C284D"/>
    <w:rsid w:val="000C2BA8"/>
    <w:rsid w:val="000D07EB"/>
    <w:rsid w:val="000E59B3"/>
    <w:rsid w:val="00105989"/>
    <w:rsid w:val="001063F6"/>
    <w:rsid w:val="00147E76"/>
    <w:rsid w:val="001630DB"/>
    <w:rsid w:val="00176C5E"/>
    <w:rsid w:val="001B2730"/>
    <w:rsid w:val="001C369B"/>
    <w:rsid w:val="001D6241"/>
    <w:rsid w:val="001E2C49"/>
    <w:rsid w:val="001F6E45"/>
    <w:rsid w:val="00212CA8"/>
    <w:rsid w:val="00226F09"/>
    <w:rsid w:val="00232DA4"/>
    <w:rsid w:val="00234F27"/>
    <w:rsid w:val="002726CD"/>
    <w:rsid w:val="002A190A"/>
    <w:rsid w:val="002D034C"/>
    <w:rsid w:val="002F6C1C"/>
    <w:rsid w:val="00353A6F"/>
    <w:rsid w:val="0039554A"/>
    <w:rsid w:val="003A489D"/>
    <w:rsid w:val="003A4E34"/>
    <w:rsid w:val="003E13E6"/>
    <w:rsid w:val="003F7CC8"/>
    <w:rsid w:val="0040677F"/>
    <w:rsid w:val="00423BC7"/>
    <w:rsid w:val="00430A5B"/>
    <w:rsid w:val="0046262C"/>
    <w:rsid w:val="0048686B"/>
    <w:rsid w:val="004A3E28"/>
    <w:rsid w:val="004A591B"/>
    <w:rsid w:val="004B0266"/>
    <w:rsid w:val="004C66F4"/>
    <w:rsid w:val="00500C1E"/>
    <w:rsid w:val="00537C75"/>
    <w:rsid w:val="00540B18"/>
    <w:rsid w:val="005420EE"/>
    <w:rsid w:val="00561560"/>
    <w:rsid w:val="0057195F"/>
    <w:rsid w:val="00575972"/>
    <w:rsid w:val="00585427"/>
    <w:rsid w:val="00585E2D"/>
    <w:rsid w:val="005A6209"/>
    <w:rsid w:val="005B1397"/>
    <w:rsid w:val="005B68BD"/>
    <w:rsid w:val="005C3FC1"/>
    <w:rsid w:val="005D6B2C"/>
    <w:rsid w:val="005E199C"/>
    <w:rsid w:val="005E6438"/>
    <w:rsid w:val="005F3868"/>
    <w:rsid w:val="00600FB1"/>
    <w:rsid w:val="00634F06"/>
    <w:rsid w:val="00643837"/>
    <w:rsid w:val="006664B7"/>
    <w:rsid w:val="006822AC"/>
    <w:rsid w:val="00687800"/>
    <w:rsid w:val="0069217A"/>
    <w:rsid w:val="006D3C33"/>
    <w:rsid w:val="00704C85"/>
    <w:rsid w:val="00736B2F"/>
    <w:rsid w:val="00741BBA"/>
    <w:rsid w:val="007510F5"/>
    <w:rsid w:val="00753470"/>
    <w:rsid w:val="00795FE4"/>
    <w:rsid w:val="007C795D"/>
    <w:rsid w:val="007D16FF"/>
    <w:rsid w:val="00826882"/>
    <w:rsid w:val="0085797C"/>
    <w:rsid w:val="00887454"/>
    <w:rsid w:val="00913B6F"/>
    <w:rsid w:val="0091645A"/>
    <w:rsid w:val="00920A74"/>
    <w:rsid w:val="00946122"/>
    <w:rsid w:val="00947109"/>
    <w:rsid w:val="009F1ABF"/>
    <w:rsid w:val="00A11584"/>
    <w:rsid w:val="00A4025C"/>
    <w:rsid w:val="00A44F32"/>
    <w:rsid w:val="00A50BE9"/>
    <w:rsid w:val="00A80E9F"/>
    <w:rsid w:val="00A82AEC"/>
    <w:rsid w:val="00A9078E"/>
    <w:rsid w:val="00A9270A"/>
    <w:rsid w:val="00AA03D4"/>
    <w:rsid w:val="00AC61BE"/>
    <w:rsid w:val="00AD19E6"/>
    <w:rsid w:val="00AD3E34"/>
    <w:rsid w:val="00B17A54"/>
    <w:rsid w:val="00B30B93"/>
    <w:rsid w:val="00B31EC6"/>
    <w:rsid w:val="00B478FC"/>
    <w:rsid w:val="00B508A7"/>
    <w:rsid w:val="00B639AE"/>
    <w:rsid w:val="00B86951"/>
    <w:rsid w:val="00BA44FB"/>
    <w:rsid w:val="00BB0BD3"/>
    <w:rsid w:val="00BD1016"/>
    <w:rsid w:val="00C069A9"/>
    <w:rsid w:val="00C26D52"/>
    <w:rsid w:val="00C90CEC"/>
    <w:rsid w:val="00CC1C6A"/>
    <w:rsid w:val="00CC386F"/>
    <w:rsid w:val="00CD343A"/>
    <w:rsid w:val="00CE3C7D"/>
    <w:rsid w:val="00D05840"/>
    <w:rsid w:val="00D36770"/>
    <w:rsid w:val="00D60607"/>
    <w:rsid w:val="00D62F4B"/>
    <w:rsid w:val="00D77D4C"/>
    <w:rsid w:val="00E2794B"/>
    <w:rsid w:val="00E664FD"/>
    <w:rsid w:val="00E803FE"/>
    <w:rsid w:val="00EB7F43"/>
    <w:rsid w:val="00EC10C3"/>
    <w:rsid w:val="00EC5DE1"/>
    <w:rsid w:val="00ED1AA7"/>
    <w:rsid w:val="00F0213D"/>
    <w:rsid w:val="00F27015"/>
    <w:rsid w:val="00F3070E"/>
    <w:rsid w:val="00F4543B"/>
    <w:rsid w:val="00F510BF"/>
    <w:rsid w:val="00FA27FB"/>
    <w:rsid w:val="00FB10B8"/>
    <w:rsid w:val="00FB59F5"/>
    <w:rsid w:val="00FF5CFB"/>
    <w:rsid w:val="016E5071"/>
    <w:rsid w:val="02E3100E"/>
    <w:rsid w:val="02F675E7"/>
    <w:rsid w:val="03C86BF7"/>
    <w:rsid w:val="051A32F4"/>
    <w:rsid w:val="07616CE3"/>
    <w:rsid w:val="0BEA0362"/>
    <w:rsid w:val="0CDA5969"/>
    <w:rsid w:val="0D1E39FD"/>
    <w:rsid w:val="0EA915DA"/>
    <w:rsid w:val="17001131"/>
    <w:rsid w:val="18DD312F"/>
    <w:rsid w:val="191742D7"/>
    <w:rsid w:val="1C091BDF"/>
    <w:rsid w:val="232E6EC3"/>
    <w:rsid w:val="24EA376A"/>
    <w:rsid w:val="256C5817"/>
    <w:rsid w:val="25B120C1"/>
    <w:rsid w:val="25BE3CA0"/>
    <w:rsid w:val="25E84DC8"/>
    <w:rsid w:val="261D0B5A"/>
    <w:rsid w:val="262922CC"/>
    <w:rsid w:val="26643555"/>
    <w:rsid w:val="282F2935"/>
    <w:rsid w:val="28B153F6"/>
    <w:rsid w:val="291B3AC5"/>
    <w:rsid w:val="2A9F153F"/>
    <w:rsid w:val="2BCF13A3"/>
    <w:rsid w:val="2BDA6FF2"/>
    <w:rsid w:val="32165BAA"/>
    <w:rsid w:val="33D42F3E"/>
    <w:rsid w:val="33F442F2"/>
    <w:rsid w:val="35C95EA7"/>
    <w:rsid w:val="36495606"/>
    <w:rsid w:val="37390197"/>
    <w:rsid w:val="390D08A6"/>
    <w:rsid w:val="395F28FE"/>
    <w:rsid w:val="3A843597"/>
    <w:rsid w:val="3E4C0C36"/>
    <w:rsid w:val="3E9400F5"/>
    <w:rsid w:val="3F6F548D"/>
    <w:rsid w:val="3FF91C51"/>
    <w:rsid w:val="41D426C5"/>
    <w:rsid w:val="42F022FE"/>
    <w:rsid w:val="43093278"/>
    <w:rsid w:val="445621F6"/>
    <w:rsid w:val="46006AB7"/>
    <w:rsid w:val="47603655"/>
    <w:rsid w:val="4C41689C"/>
    <w:rsid w:val="4FBA61C8"/>
    <w:rsid w:val="4FC41174"/>
    <w:rsid w:val="52BC0B2D"/>
    <w:rsid w:val="537B4521"/>
    <w:rsid w:val="57FA1292"/>
    <w:rsid w:val="5A327747"/>
    <w:rsid w:val="5C154191"/>
    <w:rsid w:val="5D1328DC"/>
    <w:rsid w:val="5D193A39"/>
    <w:rsid w:val="5EEB573C"/>
    <w:rsid w:val="62C7688D"/>
    <w:rsid w:val="63675AE3"/>
    <w:rsid w:val="642132A3"/>
    <w:rsid w:val="646B61B6"/>
    <w:rsid w:val="677C2FE9"/>
    <w:rsid w:val="6F6315DA"/>
    <w:rsid w:val="70063FF7"/>
    <w:rsid w:val="719262F5"/>
    <w:rsid w:val="73677D09"/>
    <w:rsid w:val="74985085"/>
    <w:rsid w:val="768C7E47"/>
    <w:rsid w:val="78DE29FC"/>
    <w:rsid w:val="79B9046D"/>
    <w:rsid w:val="7B9565F9"/>
    <w:rsid w:val="7F027248"/>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
    <w:name w:val="Balloon Text"/>
    <w:basedOn w:val="1"/>
    <w:link w:val="16"/>
    <w:semiHidden/>
    <w:unhideWhenUsed/>
    <w:qFormat/>
    <w:uiPriority w:val="99"/>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7">
    <w:name w:val="page number"/>
    <w:basedOn w:val="6"/>
    <w:qFormat/>
    <w:uiPriority w:val="0"/>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0">
    <w:name w:val="页眉 字符"/>
    <w:basedOn w:val="6"/>
    <w:link w:val="2"/>
    <w:qFormat/>
    <w:uiPriority w:val="99"/>
    <w:rPr>
      <w:rFonts w:ascii="Times New Roman" w:hAnsi="Times New Roman" w:eastAsia="宋体" w:cs="Times New Roman"/>
      <w:sz w:val="18"/>
      <w:szCs w:val="20"/>
    </w:rPr>
  </w:style>
  <w:style w:type="character" w:customStyle="1" w:styleId="11">
    <w:name w:val="页脚 字符"/>
    <w:basedOn w:val="6"/>
    <w:link w:val="4"/>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font61"/>
    <w:qFormat/>
    <w:uiPriority w:val="0"/>
    <w:rPr>
      <w:rFonts w:hint="eastAsia" w:ascii="微软雅黑" w:hAnsi="微软雅黑" w:eastAsia="微软雅黑" w:cs="微软雅黑"/>
      <w:b/>
      <w:color w:val="000000"/>
      <w:sz w:val="20"/>
      <w:szCs w:val="20"/>
      <w:u w:val="none"/>
    </w:rPr>
  </w:style>
  <w:style w:type="character" w:customStyle="1" w:styleId="14">
    <w:name w:val="font21"/>
    <w:qFormat/>
    <w:uiPriority w:val="0"/>
    <w:rPr>
      <w:rFonts w:hint="eastAsia" w:ascii="微软雅黑" w:hAnsi="微软雅黑" w:eastAsia="微软雅黑" w:cs="微软雅黑"/>
      <w:b/>
      <w:color w:val="000000"/>
      <w:sz w:val="24"/>
      <w:szCs w:val="24"/>
      <w:u w:val="none"/>
    </w:rPr>
  </w:style>
  <w:style w:type="character" w:customStyle="1" w:styleId="15">
    <w:name w:val="font121"/>
    <w:qFormat/>
    <w:uiPriority w:val="0"/>
    <w:rPr>
      <w:rFonts w:hint="eastAsia" w:ascii="微软雅黑" w:hAnsi="微软雅黑" w:eastAsia="微软雅黑" w:cs="微软雅黑"/>
      <w:b/>
      <w:color w:val="000000"/>
      <w:sz w:val="20"/>
      <w:szCs w:val="20"/>
      <w:u w:val="none"/>
    </w:rPr>
  </w:style>
  <w:style w:type="character" w:customStyle="1" w:styleId="16">
    <w:name w:val="批注框文本 字符"/>
    <w:basedOn w:val="6"/>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 w:type="paragraph" w:customStyle="1" w:styleId="18">
    <w:name w:val="样式1"/>
    <w:basedOn w:val="1"/>
    <w:qFormat/>
    <w:uiPriority w:val="0"/>
    <w:pPr>
      <w:numPr>
        <w:ilvl w:val="0"/>
        <w:numId w:val="1"/>
      </w:numPr>
      <w:tabs>
        <w:tab w:val="left" w:pos="709"/>
        <w:tab w:val="clear" w:pos="1254"/>
      </w:tabs>
    </w:pPr>
    <w:rPr>
      <w:rFonts w:ascii="宋体" w:hAnsi="宋体" w:eastAsia="楷体_GB2312"/>
      <w:sz w:val="26"/>
      <w:szCs w:val="20"/>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font5"/>
    <w:basedOn w:val="1"/>
    <w:qFormat/>
    <w:uiPriority w:val="0"/>
    <w:pPr>
      <w:widowControl/>
      <w:spacing w:before="100" w:beforeAutospacing="1" w:after="100" w:afterAutospacing="1"/>
      <w:jc w:val="left"/>
    </w:pPr>
    <w:rPr>
      <w:rFonts w:ascii="微软雅黑" w:hAnsi="微软雅黑" w:eastAsia="微软雅黑" w:cs="宋体"/>
      <w:b/>
      <w:bCs/>
      <w:color w:val="404040"/>
      <w:kern w:val="0"/>
      <w:sz w:val="20"/>
      <w:szCs w:val="20"/>
    </w:rPr>
  </w:style>
  <w:style w:type="paragraph" w:customStyle="1" w:styleId="22">
    <w:name w:val="font6"/>
    <w:basedOn w:val="1"/>
    <w:qFormat/>
    <w:uiPriority w:val="0"/>
    <w:pPr>
      <w:widowControl/>
      <w:spacing w:before="100" w:beforeAutospacing="1" w:after="100" w:afterAutospacing="1"/>
      <w:jc w:val="left"/>
    </w:pPr>
    <w:rPr>
      <w:rFonts w:ascii="微软雅黑" w:hAnsi="微软雅黑" w:eastAsia="微软雅黑" w:cs="宋体"/>
      <w:color w:val="404040"/>
      <w:kern w:val="0"/>
      <w:sz w:val="20"/>
      <w:szCs w:val="20"/>
    </w:rPr>
  </w:style>
  <w:style w:type="paragraph" w:customStyle="1" w:styleId="2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9"/>
    <w:basedOn w:val="1"/>
    <w:qFormat/>
    <w:uiPriority w:val="0"/>
    <w:pPr>
      <w:widowControl/>
      <w:spacing w:before="100" w:beforeAutospacing="1" w:after="100" w:afterAutospacing="1"/>
      <w:jc w:val="left"/>
    </w:pPr>
    <w:rPr>
      <w:rFonts w:ascii="微软雅黑" w:hAnsi="微软雅黑" w:eastAsia="微软雅黑" w:cs="宋体"/>
      <w:b/>
      <w:bCs/>
      <w:kern w:val="0"/>
      <w:sz w:val="24"/>
      <w:szCs w:val="24"/>
    </w:rPr>
  </w:style>
  <w:style w:type="paragraph" w:customStyle="1" w:styleId="25">
    <w:name w:val="xl70"/>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26">
    <w:name w:val="xl71"/>
    <w:basedOn w:val="1"/>
    <w:qFormat/>
    <w:uiPriority w:val="0"/>
    <w:pPr>
      <w:widowControl/>
      <w:spacing w:before="100" w:beforeAutospacing="1" w:after="100" w:afterAutospacing="1"/>
      <w:jc w:val="left"/>
    </w:pPr>
    <w:rPr>
      <w:rFonts w:ascii="微软雅黑" w:hAnsi="微软雅黑" w:eastAsia="微软雅黑" w:cs="宋体"/>
      <w:b/>
      <w:bCs/>
      <w:kern w:val="0"/>
      <w:sz w:val="28"/>
      <w:szCs w:val="28"/>
    </w:rPr>
  </w:style>
  <w:style w:type="paragraph" w:customStyle="1" w:styleId="27">
    <w:name w:val="xl72"/>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28">
    <w:name w:val="xl73"/>
    <w:basedOn w:val="1"/>
    <w:qFormat/>
    <w:uiPriority w:val="0"/>
    <w:pPr>
      <w:widowControl/>
      <w:spacing w:before="100" w:beforeAutospacing="1" w:after="100" w:afterAutospacing="1"/>
      <w:jc w:val="left"/>
    </w:pPr>
    <w:rPr>
      <w:rFonts w:ascii="微软雅黑" w:hAnsi="微软雅黑" w:eastAsia="微软雅黑" w:cs="宋体"/>
      <w:b/>
      <w:bCs/>
      <w:kern w:val="0"/>
      <w:sz w:val="28"/>
      <w:szCs w:val="28"/>
    </w:rPr>
  </w:style>
  <w:style w:type="paragraph" w:customStyle="1" w:styleId="29">
    <w:name w:val="xl74"/>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8"/>
      <w:szCs w:val="28"/>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8"/>
      <w:szCs w:val="28"/>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4"/>
      <w:szCs w:val="24"/>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43">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4"/>
      <w:szCs w:val="24"/>
    </w:rPr>
  </w:style>
  <w:style w:type="paragraph" w:customStyle="1" w:styleId="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b/>
      <w:bCs/>
      <w:color w:val="404040"/>
      <w:kern w:val="0"/>
      <w:sz w:val="24"/>
      <w:szCs w:val="24"/>
    </w:rPr>
  </w:style>
  <w:style w:type="paragraph" w:customStyle="1" w:styleId="4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404040"/>
      <w:kern w:val="0"/>
      <w:sz w:val="24"/>
      <w:szCs w:val="24"/>
    </w:rPr>
  </w:style>
  <w:style w:type="paragraph" w:customStyle="1" w:styleId="4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0"/>
      <w:szCs w:val="20"/>
    </w:rPr>
  </w:style>
  <w:style w:type="paragraph" w:customStyle="1" w:styleId="4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8"/>
      <w:szCs w:val="28"/>
    </w:rPr>
  </w:style>
  <w:style w:type="paragraph" w:customStyle="1" w:styleId="4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0"/>
      <w:szCs w:val="20"/>
    </w:rPr>
  </w:style>
  <w:style w:type="paragraph" w:customStyle="1" w:styleId="50">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0"/>
      <w:szCs w:val="20"/>
    </w:rPr>
  </w:style>
  <w:style w:type="paragraph" w:customStyle="1" w:styleId="51">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0"/>
      <w:szCs w:val="20"/>
    </w:rPr>
  </w:style>
  <w:style w:type="paragraph" w:customStyle="1" w:styleId="52">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8"/>
      <w:szCs w:val="28"/>
    </w:rPr>
  </w:style>
  <w:style w:type="paragraph" w:customStyle="1" w:styleId="53">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18"/>
      <w:szCs w:val="18"/>
    </w:rPr>
  </w:style>
  <w:style w:type="paragraph" w:customStyle="1" w:styleId="5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4"/>
      <w:szCs w:val="24"/>
    </w:rPr>
  </w:style>
  <w:style w:type="paragraph" w:customStyle="1" w:styleId="55">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000000"/>
      <w:spacing w:before="100" w:beforeAutospacing="1" w:after="100" w:afterAutospacing="1"/>
      <w:jc w:val="center"/>
    </w:pPr>
    <w:rPr>
      <w:rFonts w:ascii="微软雅黑" w:hAnsi="微软雅黑" w:eastAsia="微软雅黑" w:cs="宋体"/>
      <w:b/>
      <w:bCs/>
      <w:color w:val="FFFFFF"/>
      <w:kern w:val="0"/>
      <w:sz w:val="36"/>
      <w:szCs w:val="36"/>
    </w:rPr>
  </w:style>
  <w:style w:type="paragraph" w:customStyle="1" w:styleId="56">
    <w:name w:val="xl101"/>
    <w:basedOn w:val="1"/>
    <w:uiPriority w:val="0"/>
    <w:pPr>
      <w:widowControl/>
      <w:pBdr>
        <w:left w:val="single" w:color="auto" w:sz="4" w:space="0"/>
        <w:bottom w:val="single" w:color="auto" w:sz="4" w:space="0"/>
        <w:right w:val="single" w:color="auto" w:sz="4" w:space="0"/>
      </w:pBdr>
      <w:shd w:val="clear" w:color="000000" w:fill="000000"/>
      <w:spacing w:before="100" w:beforeAutospacing="1" w:after="100" w:afterAutospacing="1"/>
      <w:jc w:val="center"/>
    </w:pPr>
    <w:rPr>
      <w:rFonts w:ascii="微软雅黑" w:hAnsi="微软雅黑" w:eastAsia="微软雅黑" w:cs="宋体"/>
      <w:b/>
      <w:bCs/>
      <w:color w:val="FFFFFF"/>
      <w:kern w:val="0"/>
      <w:sz w:val="36"/>
      <w:szCs w:val="36"/>
    </w:rPr>
  </w:style>
  <w:style w:type="paragraph" w:customStyle="1" w:styleId="57">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s="宋体"/>
      <w:b/>
      <w:bCs/>
      <w:color w:val="FFFFFF"/>
      <w:kern w:val="0"/>
      <w:sz w:val="32"/>
      <w:szCs w:val="32"/>
    </w:rPr>
  </w:style>
  <w:style w:type="paragraph" w:customStyle="1" w:styleId="58">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404040"/>
      <w:kern w:val="0"/>
      <w:sz w:val="28"/>
      <w:szCs w:val="28"/>
    </w:rPr>
  </w:style>
  <w:style w:type="paragraph" w:customStyle="1" w:styleId="59">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404040"/>
      <w:kern w:val="0"/>
      <w:sz w:val="24"/>
      <w:szCs w:val="24"/>
    </w:rPr>
  </w:style>
  <w:style w:type="paragraph" w:customStyle="1" w:styleId="60">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404040"/>
      <w:kern w:val="0"/>
      <w:sz w:val="20"/>
      <w:szCs w:val="20"/>
    </w:rPr>
  </w:style>
  <w:style w:type="paragraph" w:customStyle="1" w:styleId="61">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40404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39</Pages>
  <Words>15814</Words>
  <Characters>17312</Characters>
  <Lines>153</Lines>
  <Paragraphs>43</Paragraphs>
  <TotalTime>2</TotalTime>
  <ScaleCrop>false</ScaleCrop>
  <LinksUpToDate>false</LinksUpToDate>
  <CharactersWithSpaces>18988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2022-11-21T07:59:00Z</dcterms:created>
  <dc:creator>王晓斌</dc:creator>
  <cp:lastModifiedBy>陈思瑶</cp:lastModifiedBy>
  <dcterms:modified xsi:type="dcterms:W3CDTF">2022-11-30T08:32:10Z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A51611A4E2D7462D825AC0875F8DD111</vt:lpwstr>
  </property>
</Properties>
</file>